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5C" w:rsidRPr="001D5C6A" w:rsidRDefault="001D5C6A" w:rsidP="009A705C">
      <w:pPr>
        <w:widowControl w:val="0"/>
        <w:ind w:right="76"/>
        <w:jc w:val="center"/>
        <w:rPr>
          <w:b/>
          <w:i/>
          <w:snapToGrid w:val="0"/>
          <w:lang w:val="uk-UA"/>
        </w:rPr>
      </w:pPr>
      <w:r w:rsidRPr="001D5C6A">
        <w:rPr>
          <w:b/>
          <w:i/>
          <w:snapToGrid w:val="0"/>
          <w:lang w:val="uk-UA"/>
        </w:rPr>
        <w:t xml:space="preserve"> </w:t>
      </w:r>
    </w:p>
    <w:p w:rsidR="009A705C" w:rsidRPr="001D5C6A" w:rsidRDefault="009A705C" w:rsidP="001D5C6A">
      <w:pPr>
        <w:widowControl w:val="0"/>
        <w:ind w:right="76"/>
        <w:rPr>
          <w:b/>
          <w:i/>
          <w:snapToGrid w:val="0"/>
          <w:lang w:val="uk-UA"/>
        </w:rPr>
      </w:pPr>
    </w:p>
    <w:p w:rsidR="001D5C6A" w:rsidRPr="001D5C6A" w:rsidRDefault="001D5C6A" w:rsidP="001D5C6A">
      <w:pPr>
        <w:pStyle w:val="a9"/>
        <w:jc w:val="both"/>
        <w:rPr>
          <w:b/>
          <w:i/>
          <w:iCs/>
          <w:lang w:val="uk-UA"/>
        </w:rPr>
      </w:pPr>
      <w:r w:rsidRPr="001D5C6A">
        <w:rPr>
          <w:b/>
          <w:lang w:val="uk-UA"/>
        </w:rPr>
        <w:t xml:space="preserve">                                                          </w:t>
      </w:r>
      <w:r w:rsidRPr="001D5C6A">
        <w:rPr>
          <w:b/>
          <w:sz w:val="20"/>
          <w:lang w:val="uk-UA"/>
        </w:rPr>
        <w:t>АУДИТОРСЬКА   ФІРМА</w:t>
      </w:r>
    </w:p>
    <w:p w:rsidR="001D5C6A" w:rsidRPr="001D5C6A" w:rsidRDefault="001D5C6A" w:rsidP="001D5C6A">
      <w:pPr>
        <w:pStyle w:val="a9"/>
        <w:rPr>
          <w:b/>
          <w:i/>
          <w:iCs/>
          <w:sz w:val="40"/>
          <w:szCs w:val="40"/>
          <w:lang w:val="uk-UA"/>
        </w:rPr>
      </w:pPr>
      <w:r w:rsidRPr="001D5C6A">
        <w:rPr>
          <w:b/>
          <w:sz w:val="40"/>
          <w:szCs w:val="40"/>
          <w:lang w:val="uk-UA"/>
        </w:rPr>
        <w:t xml:space="preserve">                    П О С Л У Г И     А У Д И Т У</w:t>
      </w:r>
    </w:p>
    <w:p w:rsidR="001D5C6A" w:rsidRPr="001D5C6A" w:rsidRDefault="001D5C6A" w:rsidP="001D5C6A">
      <w:pPr>
        <w:pStyle w:val="a9"/>
        <w:rPr>
          <w:b/>
          <w:i/>
          <w:iCs/>
          <w:sz w:val="28"/>
          <w:lang w:val="uk-UA"/>
        </w:rPr>
      </w:pPr>
      <w:r w:rsidRPr="001D5C6A">
        <w:rPr>
          <w:b/>
          <w:sz w:val="28"/>
          <w:lang w:val="uk-UA"/>
        </w:rPr>
        <w:t xml:space="preserve">                       Свідоцтво Аудиторської Палати України № 3117</w:t>
      </w:r>
    </w:p>
    <w:p w:rsidR="001D5C6A" w:rsidRPr="00B463E4" w:rsidRDefault="001D5C6A" w:rsidP="001D5C6A">
      <w:pPr>
        <w:pStyle w:val="a9"/>
        <w:pBdr>
          <w:bottom w:val="single" w:sz="12" w:space="1" w:color="auto"/>
        </w:pBdr>
        <w:rPr>
          <w:b/>
          <w:i/>
          <w:iCs/>
          <w:lang w:val="uk-UA"/>
        </w:rPr>
      </w:pPr>
      <w:r w:rsidRPr="001D5C6A">
        <w:rPr>
          <w:b/>
          <w:sz w:val="28"/>
          <w:lang w:val="uk-UA"/>
        </w:rPr>
        <w:t xml:space="preserve">                      Сертифікат Аудиторської Палати України № 004491 </w:t>
      </w:r>
      <w:r w:rsidRPr="001D5C6A">
        <w:rPr>
          <w:b/>
          <w:lang w:val="uk-UA"/>
        </w:rPr>
        <w:t xml:space="preserve">           </w:t>
      </w:r>
    </w:p>
    <w:p w:rsidR="001D5C6A" w:rsidRPr="001D5C6A" w:rsidRDefault="001D5C6A" w:rsidP="001D5C6A">
      <w:pPr>
        <w:pStyle w:val="a9"/>
        <w:rPr>
          <w:b/>
          <w:i/>
          <w:iCs/>
          <w:lang w:val="uk-UA"/>
        </w:rPr>
      </w:pPr>
      <w:r w:rsidRPr="001D5C6A">
        <w:rPr>
          <w:b/>
          <w:lang w:val="uk-UA"/>
        </w:rPr>
        <w:t xml:space="preserve">                               21 008, Україна, м. Вінниця , вул. Корольова, 118.</w:t>
      </w:r>
    </w:p>
    <w:p w:rsidR="001D5C6A" w:rsidRPr="001D5C6A" w:rsidRDefault="001D5C6A" w:rsidP="001D5C6A">
      <w:pPr>
        <w:pStyle w:val="a9"/>
        <w:rPr>
          <w:b/>
          <w:i/>
          <w:iCs/>
          <w:lang w:val="uk-UA"/>
        </w:rPr>
      </w:pPr>
      <w:r w:rsidRPr="001D5C6A">
        <w:rPr>
          <w:b/>
          <w:lang w:val="uk-UA"/>
        </w:rPr>
        <w:t xml:space="preserve">                              Р/р 26003500084877 в ПАТ  “Креді  Агріколь”, м. Київ</w:t>
      </w:r>
    </w:p>
    <w:p w:rsidR="001D5C6A" w:rsidRPr="001D5C6A" w:rsidRDefault="001D5C6A" w:rsidP="001D5C6A">
      <w:pPr>
        <w:pStyle w:val="a9"/>
        <w:pBdr>
          <w:bottom w:val="single" w:sz="12" w:space="1" w:color="auto"/>
        </w:pBdr>
        <w:rPr>
          <w:b/>
          <w:i/>
          <w:iCs/>
          <w:lang w:val="uk-UA"/>
        </w:rPr>
      </w:pPr>
      <w:r w:rsidRPr="001D5C6A">
        <w:rPr>
          <w:b/>
          <w:lang w:val="uk-UA"/>
        </w:rPr>
        <w:t xml:space="preserve">                                      МФО 300 614,  код за ЄДРПОУ – 32258060.</w:t>
      </w:r>
    </w:p>
    <w:p w:rsidR="001D5C6A" w:rsidRPr="001D5C6A" w:rsidRDefault="001D5C6A" w:rsidP="001D5C6A">
      <w:pPr>
        <w:pStyle w:val="a9"/>
        <w:rPr>
          <w:b/>
          <w:i/>
          <w:iCs/>
          <w:lang w:val="uk-UA"/>
        </w:rPr>
      </w:pPr>
      <w:r w:rsidRPr="001D5C6A">
        <w:rPr>
          <w:b/>
          <w:lang w:val="uk-UA"/>
        </w:rPr>
        <w:t xml:space="preserve">   Тел./ факс 067-7597824                                                                           м. Вінниця                                              </w:t>
      </w:r>
    </w:p>
    <w:p w:rsidR="001D5C6A" w:rsidRPr="001D5C6A" w:rsidRDefault="001D5C6A" w:rsidP="001D5C6A">
      <w:pPr>
        <w:rPr>
          <w:b/>
          <w:lang w:val="uk-UA"/>
        </w:rPr>
      </w:pPr>
    </w:p>
    <w:p w:rsidR="001D5C6A" w:rsidRPr="001D5C6A" w:rsidRDefault="001D5C6A" w:rsidP="001D5C6A">
      <w:pPr>
        <w:rPr>
          <w:b/>
          <w:lang w:val="uk-UA"/>
        </w:rPr>
      </w:pPr>
    </w:p>
    <w:p w:rsidR="001D5C6A" w:rsidRPr="001D5C6A" w:rsidRDefault="001D5C6A" w:rsidP="001D5C6A">
      <w:pPr>
        <w:rPr>
          <w:b/>
          <w:lang w:val="uk-UA"/>
        </w:rPr>
      </w:pPr>
    </w:p>
    <w:p w:rsidR="001D5C6A" w:rsidRPr="001D5C6A" w:rsidRDefault="001D5C6A" w:rsidP="001D5C6A">
      <w:pPr>
        <w:rPr>
          <w:b/>
          <w:lang w:val="uk-UA"/>
        </w:rPr>
      </w:pPr>
    </w:p>
    <w:p w:rsidR="008D54D6" w:rsidRPr="00B463E4" w:rsidRDefault="008D54D6" w:rsidP="008D54D6">
      <w:pPr>
        <w:widowControl w:val="0"/>
        <w:ind w:right="76"/>
        <w:rPr>
          <w:b/>
          <w:i/>
          <w:snapToGrid w:val="0"/>
        </w:rPr>
      </w:pPr>
    </w:p>
    <w:p w:rsidR="009A705C" w:rsidRPr="001D5C6A" w:rsidRDefault="009A705C" w:rsidP="009A705C">
      <w:pPr>
        <w:widowControl w:val="0"/>
        <w:ind w:right="76"/>
        <w:jc w:val="center"/>
        <w:rPr>
          <w:b/>
          <w:i/>
          <w:snapToGrid w:val="0"/>
          <w:lang w:val="uk-UA"/>
        </w:rPr>
      </w:pPr>
    </w:p>
    <w:p w:rsidR="009A705C" w:rsidRPr="001D5C6A" w:rsidRDefault="009A705C" w:rsidP="009A705C">
      <w:pPr>
        <w:widowControl w:val="0"/>
        <w:ind w:right="76"/>
        <w:rPr>
          <w:b/>
          <w:i/>
          <w:snapToGrid w:val="0"/>
          <w:lang w:val="uk-UA"/>
        </w:rPr>
      </w:pPr>
      <w:r w:rsidRPr="001D5C6A">
        <w:rPr>
          <w:b/>
          <w:i/>
          <w:snapToGrid w:val="0"/>
          <w:lang w:val="uk-UA"/>
        </w:rPr>
        <w:t xml:space="preserve"> </w:t>
      </w:r>
    </w:p>
    <w:p w:rsidR="009A705C" w:rsidRPr="001D5C6A" w:rsidRDefault="009A705C" w:rsidP="009A705C">
      <w:pPr>
        <w:widowControl w:val="0"/>
        <w:ind w:right="76"/>
        <w:rPr>
          <w:b/>
          <w:i/>
          <w:snapToGrid w:val="0"/>
          <w:lang w:val="uk-UA"/>
        </w:rPr>
      </w:pPr>
      <w:r w:rsidRPr="001D5C6A">
        <w:rPr>
          <w:b/>
          <w:i/>
          <w:snapToGrid w:val="0"/>
          <w:lang w:val="uk-UA"/>
        </w:rPr>
        <w:t xml:space="preserve"> </w:t>
      </w:r>
    </w:p>
    <w:p w:rsidR="009A705C" w:rsidRPr="001D5C6A" w:rsidRDefault="009A705C" w:rsidP="009A705C">
      <w:pPr>
        <w:widowControl w:val="0"/>
        <w:ind w:right="76"/>
        <w:rPr>
          <w:b/>
          <w:i/>
          <w:snapToGrid w:val="0"/>
          <w:lang w:val="uk-UA"/>
        </w:rPr>
      </w:pPr>
    </w:p>
    <w:p w:rsidR="009A705C" w:rsidRPr="001D5C6A" w:rsidRDefault="009A705C" w:rsidP="009A705C">
      <w:pPr>
        <w:widowControl w:val="0"/>
        <w:ind w:right="76"/>
        <w:rPr>
          <w:b/>
          <w:i/>
          <w:snapToGrid w:val="0"/>
          <w:lang w:val="uk-UA"/>
        </w:rPr>
      </w:pPr>
    </w:p>
    <w:p w:rsidR="009A705C" w:rsidRPr="009A705C" w:rsidRDefault="009A705C" w:rsidP="009A705C">
      <w:pPr>
        <w:pStyle w:val="2"/>
        <w:spacing w:before="0" w:after="0"/>
        <w:jc w:val="center"/>
        <w:rPr>
          <w:rFonts w:ascii="Georgia" w:hAnsi="Georgia"/>
          <w:bCs w:val="0"/>
          <w:i w:val="0"/>
          <w:iCs w:val="0"/>
          <w:caps/>
          <w:sz w:val="36"/>
          <w:szCs w:val="36"/>
          <w:lang w:val="uk-UA"/>
        </w:rPr>
      </w:pPr>
      <w:r w:rsidRPr="009A705C">
        <w:rPr>
          <w:rFonts w:ascii="Georgia" w:hAnsi="Georgia"/>
          <w:bCs w:val="0"/>
          <w:i w:val="0"/>
          <w:iCs w:val="0"/>
          <w:caps/>
          <w:sz w:val="36"/>
          <w:szCs w:val="36"/>
        </w:rPr>
        <w:t>Аудиторський висновок</w:t>
      </w:r>
    </w:p>
    <w:p w:rsidR="009A705C" w:rsidRPr="004232C7" w:rsidRDefault="009A705C" w:rsidP="009A705C">
      <w:pPr>
        <w:rPr>
          <w:lang w:val="uk-UA"/>
        </w:rPr>
      </w:pPr>
    </w:p>
    <w:p w:rsidR="009A705C" w:rsidRPr="009A705C" w:rsidRDefault="009A705C" w:rsidP="009A705C">
      <w:pPr>
        <w:pStyle w:val="2"/>
        <w:spacing w:before="0" w:after="0"/>
        <w:jc w:val="center"/>
        <w:rPr>
          <w:rFonts w:ascii="Georgia" w:hAnsi="Georgia"/>
          <w:bCs w:val="0"/>
          <w:i w:val="0"/>
          <w:iCs w:val="0"/>
          <w:caps/>
          <w:sz w:val="32"/>
          <w:szCs w:val="32"/>
          <w:lang w:val="uk-UA"/>
        </w:rPr>
      </w:pPr>
      <w:r w:rsidRPr="009A705C">
        <w:rPr>
          <w:rFonts w:ascii="Georgia" w:hAnsi="Georgia"/>
          <w:bCs w:val="0"/>
          <w:i w:val="0"/>
          <w:iCs w:val="0"/>
          <w:caps/>
          <w:sz w:val="32"/>
          <w:szCs w:val="32"/>
        </w:rPr>
        <w:t>(звіт незалежного аудитора)</w:t>
      </w:r>
    </w:p>
    <w:p w:rsidR="009A705C" w:rsidRPr="004232C7" w:rsidRDefault="009A705C" w:rsidP="009A705C">
      <w:pPr>
        <w:spacing w:line="260" w:lineRule="exact"/>
        <w:jc w:val="center"/>
        <w:rPr>
          <w:rFonts w:ascii="Georgia" w:hAnsi="Georgia"/>
          <w:b/>
          <w:caps/>
          <w:sz w:val="28"/>
          <w:szCs w:val="28"/>
        </w:rPr>
      </w:pPr>
      <w:r w:rsidRPr="004232C7">
        <w:rPr>
          <w:rFonts w:ascii="Georgia" w:hAnsi="Georgia"/>
          <w:b/>
          <w:caps/>
          <w:sz w:val="28"/>
          <w:szCs w:val="28"/>
        </w:rPr>
        <w:t>щодо фінансової звітності</w:t>
      </w:r>
    </w:p>
    <w:p w:rsidR="009A705C" w:rsidRPr="00AF0134" w:rsidRDefault="009A705C" w:rsidP="009A705C">
      <w:pPr>
        <w:widowControl w:val="0"/>
        <w:ind w:right="76"/>
        <w:jc w:val="center"/>
        <w:rPr>
          <w:b/>
          <w:snapToGrid w:val="0"/>
          <w:lang w:val="uk-UA"/>
        </w:rPr>
      </w:pPr>
      <w:r w:rsidRPr="004232C7">
        <w:rPr>
          <w:rFonts w:ascii="Georgia" w:hAnsi="Georgia"/>
          <w:b/>
          <w:snapToGrid w:val="0"/>
          <w:sz w:val="28"/>
          <w:szCs w:val="28"/>
          <w:lang w:val="uk-UA"/>
        </w:rPr>
        <w:t>ПРИВАТНОГО АКЦІОНЕРНОГО ТОВАРИСТВА</w:t>
      </w:r>
    </w:p>
    <w:p w:rsidR="009A705C" w:rsidRPr="004232C7" w:rsidRDefault="009A705C" w:rsidP="009A705C">
      <w:pPr>
        <w:widowControl w:val="0"/>
        <w:ind w:right="76"/>
        <w:jc w:val="center"/>
        <w:rPr>
          <w:rFonts w:ascii="Georgia" w:hAnsi="Georgia"/>
          <w:b/>
          <w:snapToGrid w:val="0"/>
          <w:sz w:val="36"/>
          <w:szCs w:val="36"/>
          <w:lang w:val="uk-UA"/>
        </w:rPr>
      </w:pPr>
      <w:r w:rsidRPr="004232C7">
        <w:rPr>
          <w:rFonts w:ascii="Georgia" w:hAnsi="Georgia"/>
          <w:b/>
          <w:snapToGrid w:val="0"/>
          <w:sz w:val="36"/>
          <w:szCs w:val="36"/>
          <w:lang w:val="uk-UA"/>
        </w:rPr>
        <w:t>«</w:t>
      </w:r>
      <w:r w:rsidR="00A95782">
        <w:rPr>
          <w:b/>
          <w:sz w:val="32"/>
          <w:szCs w:val="32"/>
          <w:lang w:val="uk-UA" w:eastAsia="uk-UA"/>
        </w:rPr>
        <w:t>УКРТРАНС-ВІННИЦЯ</w:t>
      </w:r>
      <w:r w:rsidR="00CC3F3E">
        <w:rPr>
          <w:rFonts w:ascii="Georgia" w:hAnsi="Georgia"/>
          <w:b/>
          <w:snapToGrid w:val="0"/>
          <w:sz w:val="36"/>
          <w:szCs w:val="36"/>
          <w:lang w:val="uk-UA"/>
        </w:rPr>
        <w:t>»</w:t>
      </w:r>
    </w:p>
    <w:p w:rsidR="009A705C" w:rsidRPr="007C7352" w:rsidRDefault="009A705C" w:rsidP="009A705C">
      <w:pPr>
        <w:widowControl w:val="0"/>
        <w:ind w:right="76"/>
        <w:jc w:val="center"/>
        <w:rPr>
          <w:b/>
          <w:snapToGrid w:val="0"/>
          <w:sz w:val="32"/>
          <w:szCs w:val="32"/>
          <w:lang w:val="uk-UA"/>
        </w:rPr>
      </w:pPr>
    </w:p>
    <w:p w:rsidR="009A705C" w:rsidRPr="004232C7" w:rsidRDefault="009A705C" w:rsidP="009A705C">
      <w:pPr>
        <w:spacing w:line="260" w:lineRule="exact"/>
        <w:jc w:val="center"/>
        <w:rPr>
          <w:rFonts w:ascii="Georgia" w:hAnsi="Georgia"/>
          <w:b/>
          <w:sz w:val="28"/>
          <w:szCs w:val="28"/>
          <w:lang w:val="uk-UA"/>
        </w:rPr>
      </w:pPr>
      <w:r w:rsidRPr="004232C7">
        <w:rPr>
          <w:rFonts w:ascii="Georgia" w:hAnsi="Georgia"/>
          <w:b/>
          <w:sz w:val="28"/>
          <w:szCs w:val="28"/>
          <w:lang w:val="uk-UA"/>
        </w:rPr>
        <w:t>за 201</w:t>
      </w:r>
      <w:r w:rsidR="00CC3F3E">
        <w:rPr>
          <w:rFonts w:ascii="Georgia" w:hAnsi="Georgia"/>
          <w:b/>
          <w:sz w:val="28"/>
          <w:szCs w:val="28"/>
          <w:lang w:val="uk-UA"/>
        </w:rPr>
        <w:t>6</w:t>
      </w:r>
      <w:r w:rsidRPr="004232C7">
        <w:rPr>
          <w:rFonts w:ascii="Georgia" w:hAnsi="Georgia"/>
          <w:b/>
          <w:sz w:val="28"/>
          <w:szCs w:val="28"/>
          <w:lang w:val="uk-UA"/>
        </w:rPr>
        <w:t xml:space="preserve"> рік, станом на 31.12.201</w:t>
      </w:r>
      <w:r w:rsidR="00CC3F3E">
        <w:rPr>
          <w:rFonts w:ascii="Georgia" w:hAnsi="Georgia"/>
          <w:b/>
          <w:sz w:val="28"/>
          <w:szCs w:val="28"/>
          <w:lang w:val="uk-UA"/>
        </w:rPr>
        <w:t>6</w:t>
      </w:r>
      <w:r w:rsidRPr="004232C7">
        <w:rPr>
          <w:rFonts w:ascii="Georgia" w:hAnsi="Georgia"/>
          <w:b/>
          <w:sz w:val="28"/>
          <w:szCs w:val="28"/>
          <w:lang w:val="uk-UA"/>
        </w:rPr>
        <w:t xml:space="preserve"> року</w:t>
      </w:r>
    </w:p>
    <w:p w:rsidR="009A705C" w:rsidRPr="007C7352" w:rsidRDefault="009A705C" w:rsidP="009A705C">
      <w:pPr>
        <w:spacing w:line="260" w:lineRule="exact"/>
        <w:jc w:val="center"/>
        <w:rPr>
          <w:sz w:val="28"/>
          <w:szCs w:val="28"/>
          <w:lang w:val="uk-UA"/>
        </w:rPr>
      </w:pPr>
    </w:p>
    <w:p w:rsidR="009A705C" w:rsidRDefault="009A705C" w:rsidP="009A705C">
      <w:pPr>
        <w:widowControl w:val="0"/>
        <w:ind w:right="76"/>
        <w:jc w:val="center"/>
        <w:rPr>
          <w:rFonts w:ascii="Georgia" w:hAnsi="Georgia"/>
          <w:b/>
          <w:i/>
          <w:snapToGrid w:val="0"/>
          <w:sz w:val="32"/>
          <w:szCs w:val="32"/>
          <w:lang w:val="uk-UA"/>
        </w:rPr>
      </w:pPr>
    </w:p>
    <w:p w:rsidR="009A705C" w:rsidRPr="00B463E4" w:rsidRDefault="009A705C" w:rsidP="009A705C">
      <w:pPr>
        <w:widowControl w:val="0"/>
        <w:ind w:right="76"/>
        <w:jc w:val="center"/>
        <w:rPr>
          <w:rFonts w:ascii="Georgia" w:hAnsi="Georgia"/>
          <w:b/>
          <w:i/>
          <w:snapToGrid w:val="0"/>
          <w:sz w:val="32"/>
          <w:szCs w:val="32"/>
        </w:rPr>
      </w:pPr>
    </w:p>
    <w:p w:rsidR="008D54D6" w:rsidRPr="00B463E4" w:rsidRDefault="008D54D6" w:rsidP="009A705C">
      <w:pPr>
        <w:widowControl w:val="0"/>
        <w:ind w:right="76"/>
        <w:jc w:val="center"/>
        <w:rPr>
          <w:rFonts w:ascii="Georgia" w:hAnsi="Georgia"/>
          <w:b/>
          <w:i/>
          <w:snapToGrid w:val="0"/>
          <w:sz w:val="32"/>
          <w:szCs w:val="32"/>
        </w:rPr>
      </w:pPr>
    </w:p>
    <w:p w:rsidR="009A705C" w:rsidRDefault="009A705C" w:rsidP="009A705C">
      <w:pPr>
        <w:widowControl w:val="0"/>
        <w:ind w:right="76"/>
        <w:jc w:val="center"/>
        <w:rPr>
          <w:rFonts w:ascii="Georgia" w:hAnsi="Georgia"/>
          <w:b/>
          <w:i/>
          <w:snapToGrid w:val="0"/>
          <w:sz w:val="32"/>
          <w:szCs w:val="32"/>
          <w:lang w:val="uk-UA"/>
        </w:rPr>
      </w:pPr>
    </w:p>
    <w:p w:rsidR="009A705C" w:rsidRDefault="009A705C" w:rsidP="009A705C">
      <w:pPr>
        <w:widowControl w:val="0"/>
        <w:ind w:right="76"/>
        <w:jc w:val="center"/>
        <w:rPr>
          <w:rFonts w:ascii="Georgia" w:hAnsi="Georgia"/>
          <w:b/>
          <w:i/>
          <w:snapToGrid w:val="0"/>
          <w:sz w:val="32"/>
          <w:szCs w:val="32"/>
          <w:lang w:val="uk-UA"/>
        </w:rPr>
      </w:pPr>
    </w:p>
    <w:p w:rsidR="009A705C" w:rsidRDefault="009A705C" w:rsidP="009A705C">
      <w:pPr>
        <w:widowControl w:val="0"/>
        <w:ind w:right="76"/>
        <w:jc w:val="center"/>
        <w:rPr>
          <w:rFonts w:ascii="Georgia" w:hAnsi="Georgia"/>
          <w:b/>
          <w:i/>
          <w:snapToGrid w:val="0"/>
          <w:sz w:val="32"/>
          <w:szCs w:val="32"/>
          <w:lang w:val="uk-UA"/>
        </w:rPr>
      </w:pPr>
    </w:p>
    <w:p w:rsidR="009A705C" w:rsidRPr="00797434" w:rsidRDefault="009A705C" w:rsidP="009A705C">
      <w:pPr>
        <w:widowControl w:val="0"/>
        <w:ind w:right="76"/>
        <w:jc w:val="center"/>
        <w:rPr>
          <w:rFonts w:ascii="Georgia" w:hAnsi="Georgia"/>
          <w:b/>
          <w:snapToGrid w:val="0"/>
          <w:sz w:val="36"/>
          <w:szCs w:val="36"/>
          <w:lang w:val="uk-UA"/>
        </w:rPr>
      </w:pPr>
      <w:r w:rsidRPr="009A705C">
        <w:rPr>
          <w:rFonts w:ascii="Georgia" w:hAnsi="Georgia"/>
          <w:b/>
          <w:i/>
          <w:snapToGrid w:val="0"/>
          <w:sz w:val="28"/>
          <w:szCs w:val="28"/>
          <w:lang w:val="uk-UA"/>
        </w:rPr>
        <w:t xml:space="preserve">Адресат: </w:t>
      </w:r>
      <w:r w:rsidRPr="0042185A">
        <w:rPr>
          <w:rFonts w:ascii="Georgia" w:hAnsi="Georgia"/>
          <w:b/>
          <w:i/>
        </w:rPr>
        <w:t>ВЛАСНИКАМ</w:t>
      </w:r>
      <w:r>
        <w:rPr>
          <w:rFonts w:ascii="Georgia" w:hAnsi="Georgia"/>
          <w:b/>
          <w:i/>
          <w:lang w:val="uk-UA"/>
        </w:rPr>
        <w:t xml:space="preserve"> </w:t>
      </w:r>
      <w:r w:rsidRPr="0042185A">
        <w:rPr>
          <w:rFonts w:ascii="Georgia" w:hAnsi="Georgia"/>
          <w:b/>
          <w:i/>
        </w:rPr>
        <w:t>ЦІННИХ ПАПЕРІВ, КЕРІВНИЦТВУ П</w:t>
      </w:r>
      <w:r>
        <w:rPr>
          <w:rFonts w:ascii="Georgia" w:hAnsi="Georgia"/>
          <w:b/>
          <w:i/>
          <w:lang w:val="uk-UA"/>
        </w:rPr>
        <w:t>РИВАТ</w:t>
      </w:r>
      <w:r w:rsidRPr="0042185A">
        <w:rPr>
          <w:rFonts w:ascii="Georgia" w:hAnsi="Georgia"/>
          <w:b/>
          <w:i/>
        </w:rPr>
        <w:t>НОГО АКЦІОНЕРНОГО ТОВАРИСТВА</w:t>
      </w:r>
      <w:r>
        <w:rPr>
          <w:rFonts w:ascii="Georgia" w:hAnsi="Georgia"/>
          <w:b/>
          <w:i/>
          <w:lang w:val="uk-UA"/>
        </w:rPr>
        <w:t xml:space="preserve"> </w:t>
      </w:r>
      <w:r w:rsidRPr="00E5406F">
        <w:rPr>
          <w:rFonts w:ascii="Georgia" w:hAnsi="Georgia"/>
          <w:b/>
          <w:i/>
          <w:snapToGrid w:val="0"/>
          <w:sz w:val="32"/>
          <w:szCs w:val="32"/>
          <w:lang w:val="uk-UA"/>
        </w:rPr>
        <w:t>«</w:t>
      </w:r>
      <w:r w:rsidR="00A95782" w:rsidRPr="00797434">
        <w:rPr>
          <w:b/>
          <w:i/>
          <w:sz w:val="32"/>
          <w:szCs w:val="32"/>
          <w:lang w:val="uk-UA" w:eastAsia="uk-UA"/>
        </w:rPr>
        <w:t>Укртранс-Вінниця</w:t>
      </w:r>
      <w:r w:rsidRPr="00797434">
        <w:rPr>
          <w:rFonts w:ascii="Georgia" w:hAnsi="Georgia"/>
          <w:b/>
          <w:i/>
          <w:snapToGrid w:val="0"/>
          <w:sz w:val="32"/>
          <w:szCs w:val="32"/>
          <w:lang w:val="uk-UA"/>
        </w:rPr>
        <w:t>»</w:t>
      </w:r>
    </w:p>
    <w:p w:rsidR="009A705C" w:rsidRPr="00797434" w:rsidRDefault="009A705C" w:rsidP="001D5C6A">
      <w:pPr>
        <w:widowControl w:val="0"/>
        <w:ind w:right="76"/>
        <w:rPr>
          <w:rFonts w:ascii="Georgia" w:hAnsi="Georgia"/>
          <w:b/>
          <w:i/>
          <w:snapToGrid w:val="0"/>
          <w:sz w:val="28"/>
          <w:szCs w:val="28"/>
        </w:rPr>
      </w:pPr>
    </w:p>
    <w:p w:rsidR="009A705C" w:rsidRDefault="009A705C" w:rsidP="009A705C">
      <w:pPr>
        <w:widowControl w:val="0"/>
        <w:ind w:right="76"/>
        <w:jc w:val="center"/>
        <w:rPr>
          <w:rFonts w:ascii="Georgia" w:hAnsi="Georgia"/>
          <w:b/>
          <w:i/>
          <w:snapToGrid w:val="0"/>
          <w:sz w:val="28"/>
          <w:szCs w:val="28"/>
          <w:lang w:val="uk-UA"/>
        </w:rPr>
      </w:pPr>
    </w:p>
    <w:p w:rsidR="009A705C" w:rsidRDefault="009A705C" w:rsidP="009A705C">
      <w:pPr>
        <w:widowControl w:val="0"/>
        <w:ind w:right="76"/>
        <w:jc w:val="center"/>
        <w:rPr>
          <w:rFonts w:ascii="Georgia" w:hAnsi="Georgia"/>
          <w:b/>
          <w:i/>
          <w:snapToGrid w:val="0"/>
          <w:sz w:val="28"/>
          <w:szCs w:val="28"/>
          <w:lang w:val="uk-UA"/>
        </w:rPr>
      </w:pPr>
    </w:p>
    <w:p w:rsidR="009A705C" w:rsidRDefault="009A705C" w:rsidP="009A705C">
      <w:pPr>
        <w:widowControl w:val="0"/>
        <w:ind w:right="76"/>
        <w:jc w:val="center"/>
        <w:rPr>
          <w:rFonts w:ascii="Georgia" w:hAnsi="Georgia"/>
          <w:b/>
          <w:i/>
          <w:snapToGrid w:val="0"/>
          <w:sz w:val="28"/>
          <w:szCs w:val="28"/>
          <w:lang w:val="uk-UA"/>
        </w:rPr>
      </w:pPr>
    </w:p>
    <w:p w:rsidR="009A705C" w:rsidRDefault="009A705C" w:rsidP="009A705C">
      <w:pPr>
        <w:widowControl w:val="0"/>
        <w:ind w:right="76"/>
        <w:jc w:val="center"/>
        <w:rPr>
          <w:rFonts w:ascii="Georgia" w:hAnsi="Georgia"/>
          <w:b/>
          <w:i/>
          <w:snapToGrid w:val="0"/>
          <w:sz w:val="28"/>
          <w:szCs w:val="28"/>
          <w:lang w:val="uk-UA"/>
        </w:rPr>
      </w:pPr>
    </w:p>
    <w:p w:rsidR="009A705C" w:rsidRDefault="009A705C" w:rsidP="009A705C">
      <w:pPr>
        <w:widowControl w:val="0"/>
        <w:ind w:right="76"/>
        <w:jc w:val="center"/>
        <w:rPr>
          <w:rFonts w:ascii="Georgia" w:hAnsi="Georgia"/>
          <w:b/>
          <w:i/>
          <w:snapToGrid w:val="0"/>
          <w:sz w:val="28"/>
          <w:szCs w:val="28"/>
          <w:lang w:val="uk-UA"/>
        </w:rPr>
      </w:pPr>
    </w:p>
    <w:p w:rsidR="009A705C" w:rsidRPr="004232C7" w:rsidRDefault="009A705C" w:rsidP="009A705C">
      <w:pPr>
        <w:widowControl w:val="0"/>
        <w:ind w:right="76"/>
        <w:jc w:val="center"/>
        <w:rPr>
          <w:rFonts w:ascii="Georgia" w:hAnsi="Georgia"/>
          <w:b/>
          <w:i/>
          <w:snapToGrid w:val="0"/>
          <w:sz w:val="28"/>
          <w:szCs w:val="28"/>
          <w:lang w:val="uk-UA"/>
        </w:rPr>
      </w:pPr>
      <w:r w:rsidRPr="004232C7">
        <w:rPr>
          <w:rFonts w:ascii="Georgia" w:hAnsi="Georgia"/>
          <w:b/>
          <w:i/>
          <w:snapToGrid w:val="0"/>
          <w:sz w:val="28"/>
          <w:szCs w:val="28"/>
          <w:lang w:val="uk-UA"/>
        </w:rPr>
        <w:t>код ЄДРПОУ</w:t>
      </w:r>
      <w:r w:rsidR="00B463E4">
        <w:rPr>
          <w:rFonts w:ascii="Georgia" w:hAnsi="Georgia"/>
          <w:b/>
          <w:i/>
          <w:snapToGrid w:val="0"/>
          <w:sz w:val="28"/>
          <w:szCs w:val="28"/>
          <w:lang w:val="uk-UA"/>
        </w:rPr>
        <w:t xml:space="preserve"> </w:t>
      </w:r>
      <w:r w:rsidR="00517E6C">
        <w:rPr>
          <w:b/>
          <w:i/>
          <w:iCs/>
          <w:lang w:val="uk-UA"/>
        </w:rPr>
        <w:t>0</w:t>
      </w:r>
      <w:r w:rsidR="00A95782">
        <w:rPr>
          <w:b/>
          <w:i/>
          <w:iCs/>
          <w:lang w:val="uk-UA"/>
        </w:rPr>
        <w:t>3115778</w:t>
      </w:r>
      <w:r w:rsidRPr="004232C7">
        <w:rPr>
          <w:rFonts w:ascii="Georgia" w:hAnsi="Georgia"/>
          <w:b/>
          <w:i/>
          <w:snapToGrid w:val="0"/>
          <w:sz w:val="28"/>
          <w:szCs w:val="28"/>
          <w:lang w:val="uk-UA"/>
        </w:rPr>
        <w:t>, що знаходиться за адресою:</w:t>
      </w:r>
    </w:p>
    <w:p w:rsidR="005B750E" w:rsidRPr="00EC2227" w:rsidRDefault="00B463E4" w:rsidP="00EC2227">
      <w:pPr>
        <w:widowControl w:val="0"/>
        <w:spacing w:line="240" w:lineRule="atLeast"/>
        <w:jc w:val="center"/>
        <w:rPr>
          <w:b/>
          <w:i/>
          <w:sz w:val="28"/>
          <w:szCs w:val="28"/>
          <w:lang w:val="uk-UA"/>
        </w:rPr>
      </w:pPr>
      <w:r>
        <w:rPr>
          <w:b/>
          <w:i/>
          <w:sz w:val="28"/>
          <w:szCs w:val="28"/>
          <w:lang w:val="uk-UA"/>
        </w:rPr>
        <w:t>2</w:t>
      </w:r>
      <w:r w:rsidR="00A95782">
        <w:rPr>
          <w:b/>
          <w:i/>
          <w:sz w:val="28"/>
          <w:szCs w:val="28"/>
          <w:lang w:val="uk-UA"/>
        </w:rPr>
        <w:t>1036</w:t>
      </w:r>
      <w:r w:rsidR="00CC3F3E" w:rsidRPr="009503D6">
        <w:rPr>
          <w:b/>
          <w:i/>
          <w:sz w:val="28"/>
          <w:szCs w:val="28"/>
          <w:lang w:val="uk-UA"/>
        </w:rPr>
        <w:t xml:space="preserve">, </w:t>
      </w:r>
      <w:r w:rsidR="009503D6">
        <w:rPr>
          <w:b/>
          <w:i/>
          <w:sz w:val="28"/>
          <w:szCs w:val="28"/>
          <w:lang w:val="uk-UA"/>
        </w:rPr>
        <w:t xml:space="preserve">м. </w:t>
      </w:r>
      <w:r w:rsidR="00A95782">
        <w:rPr>
          <w:b/>
          <w:i/>
          <w:sz w:val="28"/>
          <w:szCs w:val="28"/>
          <w:lang w:val="uk-UA"/>
        </w:rPr>
        <w:t>Вінниця</w:t>
      </w:r>
      <w:r w:rsidR="00CC3F3E" w:rsidRPr="009503D6">
        <w:rPr>
          <w:b/>
          <w:i/>
          <w:sz w:val="28"/>
          <w:szCs w:val="28"/>
          <w:lang w:val="uk-UA"/>
        </w:rPr>
        <w:t>,</w:t>
      </w:r>
      <w:r w:rsidR="009503D6">
        <w:rPr>
          <w:b/>
          <w:i/>
          <w:sz w:val="28"/>
          <w:szCs w:val="28"/>
          <w:lang w:val="uk-UA"/>
        </w:rPr>
        <w:t xml:space="preserve"> </w:t>
      </w:r>
      <w:r w:rsidR="005A3E6B">
        <w:rPr>
          <w:b/>
          <w:i/>
          <w:sz w:val="28"/>
          <w:szCs w:val="28"/>
          <w:lang w:val="uk-UA"/>
        </w:rPr>
        <w:t>Вінницької</w:t>
      </w:r>
      <w:r w:rsidR="00CC29D4">
        <w:rPr>
          <w:b/>
          <w:i/>
          <w:sz w:val="28"/>
          <w:szCs w:val="28"/>
          <w:lang w:val="uk-UA"/>
        </w:rPr>
        <w:t xml:space="preserve"> області</w:t>
      </w:r>
      <w:r w:rsidR="00CC3F3E" w:rsidRPr="009503D6">
        <w:rPr>
          <w:b/>
          <w:i/>
          <w:sz w:val="28"/>
          <w:szCs w:val="28"/>
          <w:lang w:val="uk-UA"/>
        </w:rPr>
        <w:t xml:space="preserve"> </w:t>
      </w:r>
      <w:r w:rsidR="009503D6">
        <w:rPr>
          <w:b/>
          <w:i/>
          <w:sz w:val="28"/>
          <w:szCs w:val="28"/>
          <w:lang w:val="uk-UA"/>
        </w:rPr>
        <w:t>,</w:t>
      </w:r>
      <w:r w:rsidR="00914EF6">
        <w:rPr>
          <w:b/>
          <w:i/>
          <w:sz w:val="28"/>
          <w:szCs w:val="28"/>
          <w:lang w:val="uk-UA"/>
        </w:rPr>
        <w:t xml:space="preserve"> </w:t>
      </w:r>
      <w:r w:rsidR="00CC3F3E" w:rsidRPr="009503D6">
        <w:rPr>
          <w:b/>
          <w:i/>
          <w:sz w:val="28"/>
          <w:szCs w:val="28"/>
          <w:lang w:val="uk-UA"/>
        </w:rPr>
        <w:t xml:space="preserve">вул. </w:t>
      </w:r>
      <w:r w:rsidR="00A95782">
        <w:rPr>
          <w:b/>
          <w:i/>
          <w:sz w:val="28"/>
          <w:szCs w:val="28"/>
          <w:lang w:val="uk-UA"/>
        </w:rPr>
        <w:t xml:space="preserve">Хмельницьке шосе </w:t>
      </w:r>
      <w:r w:rsidR="00CC3F3E" w:rsidRPr="009503D6">
        <w:rPr>
          <w:b/>
          <w:i/>
          <w:sz w:val="28"/>
          <w:szCs w:val="28"/>
          <w:lang w:val="uk-UA"/>
        </w:rPr>
        <w:t xml:space="preserve">буд. </w:t>
      </w:r>
      <w:r w:rsidR="00A95782">
        <w:rPr>
          <w:b/>
          <w:i/>
          <w:sz w:val="28"/>
          <w:szCs w:val="28"/>
          <w:lang w:val="uk-UA"/>
        </w:rPr>
        <w:t>4</w:t>
      </w:r>
    </w:p>
    <w:p w:rsidR="005B750E" w:rsidRDefault="005B750E" w:rsidP="009A705C">
      <w:pPr>
        <w:widowControl w:val="0"/>
        <w:jc w:val="center"/>
        <w:rPr>
          <w:b/>
          <w:snapToGrid w:val="0"/>
          <w:lang w:val="uk-UA"/>
        </w:rPr>
      </w:pPr>
    </w:p>
    <w:p w:rsidR="003625CB" w:rsidRPr="00461944" w:rsidRDefault="003625CB" w:rsidP="003625CB">
      <w:pPr>
        <w:widowControl w:val="0"/>
        <w:rPr>
          <w:b/>
          <w:snapToGrid w:val="0"/>
          <w:lang w:val="uk-UA"/>
        </w:rPr>
      </w:pPr>
    </w:p>
    <w:p w:rsidR="003625CB" w:rsidRPr="00461944" w:rsidRDefault="003625CB" w:rsidP="003625CB">
      <w:pPr>
        <w:widowControl w:val="0"/>
        <w:rPr>
          <w:b/>
          <w:snapToGrid w:val="0"/>
          <w:lang w:val="uk-UA"/>
        </w:rPr>
      </w:pPr>
    </w:p>
    <w:p w:rsidR="009A705C" w:rsidRPr="007C7352" w:rsidRDefault="003625CB" w:rsidP="003625CB">
      <w:pPr>
        <w:widowControl w:val="0"/>
        <w:rPr>
          <w:b/>
          <w:snapToGrid w:val="0"/>
          <w:lang w:val="uk-UA"/>
        </w:rPr>
      </w:pPr>
      <w:r w:rsidRPr="00461944">
        <w:rPr>
          <w:b/>
          <w:snapToGrid w:val="0"/>
          <w:lang w:val="uk-UA"/>
        </w:rPr>
        <w:lastRenderedPageBreak/>
        <w:t xml:space="preserve">                                           </w:t>
      </w:r>
      <w:r w:rsidR="009A705C" w:rsidRPr="007C7352">
        <w:rPr>
          <w:b/>
          <w:snapToGrid w:val="0"/>
          <w:lang w:val="uk-UA"/>
        </w:rPr>
        <w:t>Звіт щодо фінансової звітності</w:t>
      </w:r>
      <w:r w:rsidRPr="00461944">
        <w:rPr>
          <w:b/>
          <w:snapToGrid w:val="0"/>
          <w:lang w:val="uk-UA"/>
        </w:rPr>
        <w:t xml:space="preserve"> </w:t>
      </w:r>
      <w:r w:rsidR="009A705C" w:rsidRPr="007C7352">
        <w:rPr>
          <w:b/>
          <w:snapToGrid w:val="0"/>
          <w:lang w:val="uk-UA"/>
        </w:rPr>
        <w:t>за 201</w:t>
      </w:r>
      <w:r w:rsidR="00CC3F3E">
        <w:rPr>
          <w:b/>
          <w:snapToGrid w:val="0"/>
          <w:lang w:val="uk-UA"/>
        </w:rPr>
        <w:t>6</w:t>
      </w:r>
      <w:r w:rsidR="009A705C" w:rsidRPr="007C7352">
        <w:rPr>
          <w:b/>
          <w:snapToGrid w:val="0"/>
          <w:lang w:val="uk-UA"/>
        </w:rPr>
        <w:t xml:space="preserve"> рік</w:t>
      </w:r>
    </w:p>
    <w:p w:rsidR="009A705C" w:rsidRDefault="009A705C" w:rsidP="009A705C">
      <w:pPr>
        <w:widowControl w:val="0"/>
        <w:jc w:val="center"/>
        <w:rPr>
          <w:b/>
          <w:i/>
          <w:snapToGrid w:val="0"/>
          <w:sz w:val="28"/>
          <w:lang w:val="uk-UA"/>
        </w:rPr>
      </w:pPr>
    </w:p>
    <w:p w:rsidR="009A705C" w:rsidRPr="007C7352" w:rsidRDefault="009A705C" w:rsidP="009A705C">
      <w:pPr>
        <w:widowControl w:val="0"/>
        <w:jc w:val="center"/>
        <w:rPr>
          <w:b/>
          <w:i/>
          <w:snapToGrid w:val="0"/>
          <w:lang w:val="uk-UA"/>
        </w:rPr>
      </w:pPr>
      <w:r>
        <w:rPr>
          <w:b/>
          <w:i/>
          <w:snapToGrid w:val="0"/>
          <w:lang w:val="uk-UA"/>
        </w:rPr>
        <w:t xml:space="preserve"> </w:t>
      </w:r>
      <w:r w:rsidRPr="007C7352">
        <w:rPr>
          <w:b/>
          <w:i/>
          <w:snapToGrid w:val="0"/>
          <w:lang w:val="uk-UA"/>
        </w:rPr>
        <w:t>Вступний параграф</w:t>
      </w:r>
    </w:p>
    <w:p w:rsidR="00CC3F3E" w:rsidRPr="00461944" w:rsidRDefault="00CC3F3E" w:rsidP="00CC3F3E">
      <w:pPr>
        <w:jc w:val="both"/>
        <w:rPr>
          <w:lang w:val="uk-UA"/>
        </w:rPr>
      </w:pPr>
    </w:p>
    <w:p w:rsidR="009A705C" w:rsidRPr="007A705C" w:rsidRDefault="00CF20DB" w:rsidP="009A705C">
      <w:pPr>
        <w:ind w:firstLine="426"/>
        <w:jc w:val="both"/>
        <w:rPr>
          <w:lang w:val="uk-UA"/>
        </w:rPr>
      </w:pPr>
      <w:r>
        <w:rPr>
          <w:lang w:val="uk-UA"/>
        </w:rPr>
        <w:t xml:space="preserve">Приватним підприємством </w:t>
      </w:r>
      <w:r w:rsidR="009A705C" w:rsidRPr="007A705C">
        <w:rPr>
          <w:lang w:val="uk-UA"/>
        </w:rPr>
        <w:t>А</w:t>
      </w:r>
      <w:r>
        <w:rPr>
          <w:lang w:val="uk-UA"/>
        </w:rPr>
        <w:t>Ф</w:t>
      </w:r>
      <w:r w:rsidR="009A705C" w:rsidRPr="007A705C">
        <w:rPr>
          <w:lang w:val="uk-UA"/>
        </w:rPr>
        <w:t xml:space="preserve"> «</w:t>
      </w:r>
      <w:r w:rsidR="00CC3F3E">
        <w:rPr>
          <w:lang w:val="uk-UA"/>
        </w:rPr>
        <w:t>ПОСЛУГИ АУДИТУ</w:t>
      </w:r>
      <w:r w:rsidR="009A705C" w:rsidRPr="007A705C">
        <w:rPr>
          <w:lang w:val="uk-UA"/>
        </w:rPr>
        <w:t>» у відповідності до Закону України "Про аудиторську діяльність" №140-</w:t>
      </w:r>
      <w:r w:rsidR="009A705C" w:rsidRPr="007A705C">
        <w:t>V</w:t>
      </w:r>
      <w:r w:rsidR="009A705C" w:rsidRPr="007A705C">
        <w:rPr>
          <w:lang w:val="uk-UA"/>
        </w:rPr>
        <w:t xml:space="preserve"> від 14.09.2006 р. та свідоцтва  про внесення до Реєстру суб’єктів аудиторської діяльності</w:t>
      </w:r>
      <w:r w:rsidR="009A705C" w:rsidRPr="00CF20DB">
        <w:rPr>
          <w:lang w:val="uk-UA"/>
        </w:rPr>
        <w:t xml:space="preserve"> № </w:t>
      </w:r>
      <w:r w:rsidR="00CC3F3E" w:rsidRPr="00CF20DB">
        <w:rPr>
          <w:lang w:val="uk-UA"/>
        </w:rPr>
        <w:t>3117</w:t>
      </w:r>
      <w:r w:rsidR="009A705C" w:rsidRPr="00CF20DB">
        <w:rPr>
          <w:lang w:val="uk-UA"/>
        </w:rPr>
        <w:t xml:space="preserve">, видане Аудиторською Палатою України згідно рішення  № </w:t>
      </w:r>
      <w:r w:rsidR="00CC3F3E" w:rsidRPr="00CF20DB">
        <w:rPr>
          <w:lang w:val="uk-UA"/>
        </w:rPr>
        <w:t>118</w:t>
      </w:r>
      <w:r w:rsidR="009A705C" w:rsidRPr="00CF20DB">
        <w:rPr>
          <w:lang w:val="uk-UA"/>
        </w:rPr>
        <w:t xml:space="preserve">  від 2</w:t>
      </w:r>
      <w:r w:rsidR="00CC3F3E" w:rsidRPr="00CF20DB">
        <w:rPr>
          <w:lang w:val="uk-UA"/>
        </w:rPr>
        <w:t>6</w:t>
      </w:r>
      <w:r w:rsidR="009A705C" w:rsidRPr="00CF20DB">
        <w:rPr>
          <w:lang w:val="uk-UA"/>
        </w:rPr>
        <w:t>.</w:t>
      </w:r>
      <w:r w:rsidR="00CC3F3E" w:rsidRPr="00CF20DB">
        <w:rPr>
          <w:lang w:val="uk-UA"/>
        </w:rPr>
        <w:t>1</w:t>
      </w:r>
      <w:r w:rsidR="009A705C" w:rsidRPr="00CF20DB">
        <w:rPr>
          <w:lang w:val="uk-UA"/>
        </w:rPr>
        <w:t>2.200</w:t>
      </w:r>
      <w:r w:rsidR="00CC3F3E" w:rsidRPr="00CF20DB">
        <w:rPr>
          <w:lang w:val="uk-UA"/>
        </w:rPr>
        <w:t>2</w:t>
      </w:r>
      <w:r w:rsidR="009A705C" w:rsidRPr="00CF20DB">
        <w:rPr>
          <w:lang w:val="uk-UA"/>
        </w:rPr>
        <w:t xml:space="preserve"> р., </w:t>
      </w:r>
      <w:r w:rsidR="0097678E" w:rsidRPr="00CF20DB">
        <w:rPr>
          <w:lang w:val="uk-UA"/>
        </w:rPr>
        <w:t xml:space="preserve">дію свідоцтва продовжено </w:t>
      </w:r>
      <w:r w:rsidR="00661204" w:rsidRPr="00CF20DB">
        <w:rPr>
          <w:lang w:val="uk-UA"/>
        </w:rPr>
        <w:t xml:space="preserve">  рішення</w:t>
      </w:r>
      <w:r w:rsidR="0097678E" w:rsidRPr="00CF20DB">
        <w:rPr>
          <w:lang w:val="uk-UA"/>
        </w:rPr>
        <w:t>м</w:t>
      </w:r>
      <w:r w:rsidR="00661204" w:rsidRPr="00CF20DB">
        <w:rPr>
          <w:lang w:val="uk-UA"/>
        </w:rPr>
        <w:t xml:space="preserve"> Аудиторської Палати України від </w:t>
      </w:r>
      <w:r w:rsidR="00CC3F3E" w:rsidRPr="00CF20DB">
        <w:rPr>
          <w:lang w:val="uk-UA" w:eastAsia="uk-UA"/>
        </w:rPr>
        <w:t>01.11.2012 року №260/3</w:t>
      </w:r>
      <w:r w:rsidR="00CC3F3E" w:rsidRPr="00CC3F3E">
        <w:rPr>
          <w:lang w:val="uk-UA" w:eastAsia="uk-UA"/>
        </w:rPr>
        <w:t xml:space="preserve"> </w:t>
      </w:r>
      <w:r w:rsidR="007F25EC">
        <w:rPr>
          <w:lang w:val="uk-UA" w:eastAsia="uk-UA"/>
        </w:rPr>
        <w:t>до 01.11.2017</w:t>
      </w:r>
      <w:r w:rsidR="000B37AE">
        <w:rPr>
          <w:lang w:val="uk-UA" w:eastAsia="uk-UA"/>
        </w:rPr>
        <w:t xml:space="preserve"> </w:t>
      </w:r>
      <w:r w:rsidR="007F25EC">
        <w:rPr>
          <w:lang w:val="uk-UA" w:eastAsia="uk-UA"/>
        </w:rPr>
        <w:t xml:space="preserve">року, </w:t>
      </w:r>
      <w:r w:rsidR="009A705C" w:rsidRPr="007A705C">
        <w:rPr>
          <w:lang w:val="uk-UA"/>
        </w:rPr>
        <w:t xml:space="preserve">проведена аудиторська перевірка фінансових звітів Приватного акціонерного товариства </w:t>
      </w:r>
      <w:r w:rsidR="00CC3F3E">
        <w:rPr>
          <w:lang w:val="uk-UA"/>
        </w:rPr>
        <w:t xml:space="preserve"> «</w:t>
      </w:r>
      <w:r w:rsidR="00A95782">
        <w:rPr>
          <w:lang w:val="uk-UA"/>
        </w:rPr>
        <w:t>Укртранс-Вінниця</w:t>
      </w:r>
      <w:r w:rsidR="009A705C" w:rsidRPr="007A705C">
        <w:rPr>
          <w:lang w:val="uk-UA"/>
        </w:rPr>
        <w:t>», що включають:</w:t>
      </w:r>
    </w:p>
    <w:p w:rsidR="009A705C" w:rsidRPr="007A705C" w:rsidRDefault="009A705C" w:rsidP="009A705C">
      <w:pPr>
        <w:pStyle w:val="a6"/>
        <w:spacing w:after="0" w:line="240" w:lineRule="auto"/>
        <w:ind w:left="284"/>
        <w:jc w:val="both"/>
        <w:rPr>
          <w:rFonts w:ascii="Times New Roman" w:hAnsi="Times New Roman"/>
          <w:sz w:val="24"/>
          <w:szCs w:val="24"/>
        </w:rPr>
      </w:pPr>
      <w:r w:rsidRPr="007A705C">
        <w:rPr>
          <w:rFonts w:ascii="Times New Roman" w:hAnsi="Times New Roman"/>
          <w:sz w:val="24"/>
          <w:szCs w:val="24"/>
        </w:rPr>
        <w:t>- Баланс на 31.12.201</w:t>
      </w:r>
      <w:r w:rsidR="00CC3F3E">
        <w:rPr>
          <w:rFonts w:ascii="Times New Roman" w:hAnsi="Times New Roman"/>
          <w:sz w:val="24"/>
          <w:szCs w:val="24"/>
          <w:lang w:val="ru-RU"/>
        </w:rPr>
        <w:t>6</w:t>
      </w:r>
      <w:r w:rsidR="00B34E2D">
        <w:rPr>
          <w:rFonts w:ascii="Times New Roman" w:hAnsi="Times New Roman"/>
          <w:sz w:val="24"/>
          <w:szCs w:val="24"/>
          <w:lang w:val="ru-RU"/>
        </w:rPr>
        <w:t xml:space="preserve"> </w:t>
      </w:r>
      <w:r w:rsidRPr="007A705C">
        <w:rPr>
          <w:rFonts w:ascii="Times New Roman" w:hAnsi="Times New Roman"/>
          <w:sz w:val="24"/>
          <w:szCs w:val="24"/>
        </w:rPr>
        <w:t xml:space="preserve">р. (Додаток 1 до Національного положення (стандарту) бухобліку </w:t>
      </w:r>
      <w:r w:rsidR="00B34E2D">
        <w:rPr>
          <w:rFonts w:ascii="Times New Roman" w:hAnsi="Times New Roman"/>
          <w:sz w:val="24"/>
          <w:szCs w:val="24"/>
        </w:rPr>
        <w:t>25</w:t>
      </w:r>
      <w:r>
        <w:rPr>
          <w:rFonts w:ascii="Times New Roman" w:hAnsi="Times New Roman"/>
          <w:sz w:val="24"/>
          <w:szCs w:val="24"/>
        </w:rPr>
        <w:t xml:space="preserve"> </w:t>
      </w:r>
      <w:r w:rsidRPr="007A705C">
        <w:rPr>
          <w:rFonts w:ascii="Times New Roman" w:hAnsi="Times New Roman"/>
          <w:sz w:val="24"/>
          <w:szCs w:val="24"/>
        </w:rPr>
        <w:t>«</w:t>
      </w:r>
      <w:r w:rsidR="00B34E2D">
        <w:rPr>
          <w:rFonts w:ascii="Times New Roman" w:hAnsi="Times New Roman"/>
          <w:sz w:val="24"/>
          <w:szCs w:val="24"/>
        </w:rPr>
        <w:t xml:space="preserve">Фінансовий звіт суб’єкта малого підприємництва </w:t>
      </w:r>
      <w:r w:rsidRPr="007A705C">
        <w:rPr>
          <w:rFonts w:ascii="Times New Roman" w:hAnsi="Times New Roman"/>
          <w:sz w:val="24"/>
          <w:szCs w:val="24"/>
        </w:rPr>
        <w:t>»</w:t>
      </w:r>
      <w:r>
        <w:rPr>
          <w:rFonts w:ascii="Times New Roman" w:hAnsi="Times New Roman"/>
          <w:sz w:val="24"/>
          <w:szCs w:val="24"/>
        </w:rPr>
        <w:t xml:space="preserve"> </w:t>
      </w:r>
      <w:r w:rsidRPr="007A705C">
        <w:rPr>
          <w:rFonts w:ascii="Times New Roman" w:hAnsi="Times New Roman"/>
          <w:sz w:val="24"/>
          <w:szCs w:val="24"/>
        </w:rPr>
        <w:t>(форма № 1</w:t>
      </w:r>
      <w:r w:rsidR="00B34E2D">
        <w:rPr>
          <w:rFonts w:ascii="Times New Roman" w:hAnsi="Times New Roman"/>
          <w:sz w:val="24"/>
          <w:szCs w:val="24"/>
        </w:rPr>
        <w:t>-м</w:t>
      </w:r>
      <w:r w:rsidRPr="007A705C">
        <w:rPr>
          <w:rFonts w:ascii="Times New Roman" w:hAnsi="Times New Roman"/>
          <w:sz w:val="24"/>
          <w:szCs w:val="24"/>
        </w:rPr>
        <w:t xml:space="preserve">); </w:t>
      </w:r>
    </w:p>
    <w:p w:rsidR="009A705C" w:rsidRDefault="009A705C" w:rsidP="009A705C">
      <w:pPr>
        <w:pStyle w:val="a6"/>
        <w:spacing w:after="0" w:line="240" w:lineRule="auto"/>
        <w:ind w:left="0" w:firstLine="284"/>
        <w:jc w:val="both"/>
        <w:rPr>
          <w:rFonts w:ascii="Times New Roman" w:hAnsi="Times New Roman"/>
          <w:sz w:val="24"/>
          <w:szCs w:val="24"/>
        </w:rPr>
      </w:pPr>
      <w:r w:rsidRPr="007A705C">
        <w:rPr>
          <w:rFonts w:ascii="Times New Roman" w:hAnsi="Times New Roman"/>
          <w:sz w:val="24"/>
          <w:szCs w:val="24"/>
        </w:rPr>
        <w:t>- Звіт про фінансові результати за 201</w:t>
      </w:r>
      <w:r w:rsidR="00CC3F3E">
        <w:rPr>
          <w:rFonts w:ascii="Times New Roman" w:hAnsi="Times New Roman"/>
          <w:sz w:val="24"/>
          <w:szCs w:val="24"/>
          <w:lang w:val="ru-RU"/>
        </w:rPr>
        <w:t>6</w:t>
      </w:r>
      <w:r w:rsidRPr="007A705C">
        <w:rPr>
          <w:rFonts w:ascii="Times New Roman" w:hAnsi="Times New Roman"/>
          <w:sz w:val="24"/>
          <w:szCs w:val="24"/>
        </w:rPr>
        <w:t xml:space="preserve"> рік (форма №</w:t>
      </w:r>
      <w:r w:rsidR="00EC2227">
        <w:rPr>
          <w:rFonts w:ascii="Times New Roman" w:hAnsi="Times New Roman"/>
          <w:sz w:val="24"/>
          <w:szCs w:val="24"/>
        </w:rPr>
        <w:t xml:space="preserve"> </w:t>
      </w:r>
      <w:r w:rsidRPr="007A705C">
        <w:rPr>
          <w:rFonts w:ascii="Times New Roman" w:hAnsi="Times New Roman"/>
          <w:sz w:val="24"/>
          <w:szCs w:val="24"/>
        </w:rPr>
        <w:t>2</w:t>
      </w:r>
      <w:r w:rsidR="00B34E2D">
        <w:rPr>
          <w:rFonts w:ascii="Times New Roman" w:hAnsi="Times New Roman"/>
          <w:sz w:val="24"/>
          <w:szCs w:val="24"/>
        </w:rPr>
        <w:t>-м</w:t>
      </w:r>
      <w:r w:rsidRPr="007A705C">
        <w:rPr>
          <w:rFonts w:ascii="Times New Roman" w:hAnsi="Times New Roman"/>
          <w:sz w:val="24"/>
          <w:szCs w:val="24"/>
        </w:rPr>
        <w:t>);</w:t>
      </w:r>
    </w:p>
    <w:p w:rsidR="007615A9" w:rsidRPr="007A705C" w:rsidRDefault="007615A9" w:rsidP="009A705C">
      <w:pPr>
        <w:pStyle w:val="a6"/>
        <w:spacing w:after="0" w:line="240" w:lineRule="auto"/>
        <w:ind w:left="0" w:firstLine="284"/>
        <w:jc w:val="both"/>
        <w:rPr>
          <w:rFonts w:ascii="Times New Roman" w:hAnsi="Times New Roman"/>
          <w:sz w:val="24"/>
          <w:szCs w:val="24"/>
        </w:rPr>
      </w:pPr>
    </w:p>
    <w:p w:rsidR="009A705C" w:rsidRPr="009D0834" w:rsidRDefault="009A705C" w:rsidP="009A705C">
      <w:pPr>
        <w:spacing w:line="240" w:lineRule="atLeast"/>
        <w:ind w:firstLine="284"/>
        <w:jc w:val="center"/>
        <w:rPr>
          <w:b/>
          <w:i/>
          <w:lang w:val="uk-UA"/>
        </w:rPr>
      </w:pPr>
      <w:r w:rsidRPr="009D0834">
        <w:rPr>
          <w:b/>
          <w:i/>
          <w:lang w:val="uk-UA"/>
        </w:rPr>
        <w:t xml:space="preserve"> Основні відомості про акціонерне товариство:</w:t>
      </w:r>
    </w:p>
    <w:p w:rsidR="00D83A54" w:rsidRPr="00CF20DB" w:rsidRDefault="00D83A54" w:rsidP="009A705C">
      <w:pPr>
        <w:spacing w:line="240" w:lineRule="atLeast"/>
        <w:ind w:firstLine="284"/>
        <w:jc w:val="center"/>
        <w:rPr>
          <w:b/>
          <w:i/>
          <w:lang w:val="uk-UA"/>
        </w:rPr>
      </w:pPr>
    </w:p>
    <w:p w:rsidR="00A95782" w:rsidRPr="00A95782" w:rsidRDefault="00797434" w:rsidP="00A95782">
      <w:pPr>
        <w:jc w:val="both"/>
        <w:rPr>
          <w:b/>
          <w:lang w:val="uk-UA"/>
        </w:rPr>
      </w:pPr>
      <w:r w:rsidRPr="00797434">
        <w:t xml:space="preserve">     </w:t>
      </w:r>
      <w:r w:rsidR="00A95782" w:rsidRPr="00A95782">
        <w:rPr>
          <w:lang w:val="uk-UA"/>
        </w:rPr>
        <w:t>Повне найменування  -- приватне акціонерне товариство «Укртранс-Вінниця».</w:t>
      </w:r>
      <w:r w:rsidR="00A95782" w:rsidRPr="00A95782">
        <w:rPr>
          <w:b/>
          <w:lang w:val="uk-UA"/>
        </w:rPr>
        <w:t xml:space="preserve"> </w:t>
      </w:r>
    </w:p>
    <w:p w:rsidR="00A95782" w:rsidRPr="00A95782" w:rsidRDefault="00A95782" w:rsidP="00A95782">
      <w:pPr>
        <w:jc w:val="both"/>
        <w:rPr>
          <w:lang w:val="uk-UA"/>
        </w:rPr>
      </w:pPr>
      <w:r w:rsidRPr="00A95782">
        <w:rPr>
          <w:lang w:val="uk-UA"/>
        </w:rPr>
        <w:t xml:space="preserve">     Код  за  ЄДРПОУ  -- 03115778;</w:t>
      </w:r>
    </w:p>
    <w:p w:rsidR="00A95782" w:rsidRPr="00A95782" w:rsidRDefault="00A95782" w:rsidP="00A95782">
      <w:pPr>
        <w:jc w:val="both"/>
        <w:rPr>
          <w:lang w:val="uk-UA"/>
        </w:rPr>
      </w:pPr>
      <w:r w:rsidRPr="00A95782">
        <w:rPr>
          <w:lang w:val="uk-UA"/>
        </w:rPr>
        <w:t xml:space="preserve">     Місцезнаходження  -- 21036,  м. Вінниця, вул. Хмельницьке шосе , буд. 4 ;</w:t>
      </w:r>
    </w:p>
    <w:p w:rsidR="00A95782" w:rsidRPr="00A95782" w:rsidRDefault="00A95782" w:rsidP="00A95782">
      <w:pPr>
        <w:jc w:val="both"/>
        <w:rPr>
          <w:lang w:val="uk-UA"/>
        </w:rPr>
      </w:pPr>
      <w:r w:rsidRPr="00A95782">
        <w:rPr>
          <w:lang w:val="uk-UA"/>
        </w:rPr>
        <w:t xml:space="preserve">     Дата реєстрації  -- </w:t>
      </w:r>
      <w:r w:rsidR="00FF4F3B">
        <w:rPr>
          <w:noProof/>
          <w:lang w:val="uk-UA"/>
        </w:rPr>
        <w:t xml:space="preserve">30.03.2005 </w:t>
      </w:r>
      <w:r w:rsidRPr="00A95782">
        <w:rPr>
          <w:noProof/>
          <w:lang w:val="uk-UA"/>
        </w:rPr>
        <w:t xml:space="preserve"> р.  </w:t>
      </w:r>
      <w:r w:rsidR="00FF4F3B">
        <w:rPr>
          <w:noProof/>
          <w:lang w:val="uk-UA"/>
        </w:rPr>
        <w:t>номер запису в єдиний державний реєстр відомостей про юридичну особу 1 174 120 0000 001247. Державна реєстрація змін до установчих документів проведена виконавчим комітетом Вінн</w:t>
      </w:r>
      <w:r w:rsidR="00797434">
        <w:rPr>
          <w:noProof/>
          <w:lang w:val="uk-UA"/>
        </w:rPr>
        <w:t>ицькоі міської Ради 19.05.2015</w:t>
      </w:r>
      <w:r w:rsidR="00FF4F3B">
        <w:rPr>
          <w:noProof/>
          <w:lang w:val="uk-UA"/>
        </w:rPr>
        <w:t>р</w:t>
      </w:r>
      <w:r w:rsidR="00797434">
        <w:rPr>
          <w:noProof/>
          <w:lang w:val="uk-UA"/>
        </w:rPr>
        <w:t xml:space="preserve">оку, </w:t>
      </w:r>
      <w:r w:rsidR="00FF4F3B">
        <w:rPr>
          <w:noProof/>
          <w:lang w:val="uk-UA"/>
        </w:rPr>
        <w:t>№ запису 11741050040001247</w:t>
      </w:r>
    </w:p>
    <w:p w:rsidR="00A95782" w:rsidRPr="00A95782" w:rsidRDefault="00A95782" w:rsidP="00A95782">
      <w:pPr>
        <w:jc w:val="both"/>
        <w:rPr>
          <w:lang w:val="uk-UA"/>
        </w:rPr>
      </w:pPr>
    </w:p>
    <w:p w:rsidR="00A95782" w:rsidRPr="00A95782" w:rsidRDefault="00A95782" w:rsidP="00A95782">
      <w:pPr>
        <w:jc w:val="both"/>
        <w:rPr>
          <w:lang w:val="uk-UA"/>
        </w:rPr>
      </w:pPr>
      <w:r w:rsidRPr="00A95782">
        <w:rPr>
          <w:lang w:val="uk-UA"/>
        </w:rPr>
        <w:t xml:space="preserve">     Види діяльності за КВЕД – 2010:</w:t>
      </w:r>
    </w:p>
    <w:p w:rsidR="00A95782" w:rsidRPr="00A95782" w:rsidRDefault="00A95782" w:rsidP="00A95782">
      <w:pPr>
        <w:jc w:val="both"/>
        <w:rPr>
          <w:lang w:val="uk-UA"/>
        </w:rPr>
      </w:pPr>
      <w:r w:rsidRPr="00A95782">
        <w:rPr>
          <w:lang w:val="uk-UA"/>
        </w:rPr>
        <w:t xml:space="preserve">    49.41 вантажний автомобільний транспорт ;</w:t>
      </w:r>
    </w:p>
    <w:p w:rsidR="00A95782" w:rsidRPr="00A95782" w:rsidRDefault="00A95782" w:rsidP="00A95782">
      <w:pPr>
        <w:jc w:val="both"/>
        <w:rPr>
          <w:lang w:val="uk-UA"/>
        </w:rPr>
      </w:pPr>
      <w:r w:rsidRPr="00A95782">
        <w:rPr>
          <w:lang w:val="uk-UA"/>
        </w:rPr>
        <w:t xml:space="preserve">    52.10  складське господарство ;</w:t>
      </w:r>
    </w:p>
    <w:p w:rsidR="00946140" w:rsidRPr="00946140" w:rsidRDefault="00A95782" w:rsidP="00A95782">
      <w:pPr>
        <w:jc w:val="both"/>
        <w:rPr>
          <w:lang w:val="uk-UA"/>
        </w:rPr>
      </w:pPr>
      <w:r w:rsidRPr="00A95782">
        <w:rPr>
          <w:lang w:val="uk-UA" w:eastAsia="uk-UA"/>
        </w:rPr>
        <w:t xml:space="preserve">    52.29 інша допоміжна діяльність у сфері транспорту   </w:t>
      </w:r>
    </w:p>
    <w:p w:rsidR="00EC2227" w:rsidRPr="009503D6" w:rsidRDefault="00EC2227" w:rsidP="00946140">
      <w:pPr>
        <w:pStyle w:val="a9"/>
        <w:jc w:val="both"/>
        <w:rPr>
          <w:lang w:val="uk-UA"/>
        </w:rPr>
      </w:pPr>
    </w:p>
    <w:p w:rsidR="009A705C" w:rsidRPr="006D739C" w:rsidRDefault="00D44B30" w:rsidP="009503D6">
      <w:pPr>
        <w:jc w:val="both"/>
        <w:rPr>
          <w:lang w:val="uk-UA"/>
        </w:rPr>
      </w:pPr>
      <w:r>
        <w:rPr>
          <w:lang w:val="uk-UA"/>
        </w:rPr>
        <w:t xml:space="preserve">     </w:t>
      </w:r>
      <w:r w:rsidR="008461D5" w:rsidRPr="00EE7637">
        <w:t>Директор</w:t>
      </w:r>
      <w:r w:rsidR="00983C00" w:rsidRPr="006D739C">
        <w:rPr>
          <w:lang w:val="uk-UA"/>
        </w:rPr>
        <w:t xml:space="preserve"> – </w:t>
      </w:r>
      <w:r w:rsidR="00A95782">
        <w:rPr>
          <w:lang w:val="uk-UA"/>
        </w:rPr>
        <w:t>Петренко Мирослав Миколайович</w:t>
      </w:r>
      <w:r w:rsidR="00983C00" w:rsidRPr="006D739C">
        <w:rPr>
          <w:lang w:val="uk-UA"/>
        </w:rPr>
        <w:t>;</w:t>
      </w:r>
    </w:p>
    <w:p w:rsidR="00983C00" w:rsidRPr="006D739C" w:rsidRDefault="00983C00" w:rsidP="009A705C">
      <w:pPr>
        <w:spacing w:line="240" w:lineRule="atLeast"/>
        <w:rPr>
          <w:lang w:val="uk-UA"/>
        </w:rPr>
      </w:pPr>
      <w:r w:rsidRPr="006D739C">
        <w:rPr>
          <w:lang w:val="uk-UA"/>
        </w:rPr>
        <w:t xml:space="preserve">     Головний бухгалтер – </w:t>
      </w:r>
      <w:r w:rsidR="00A95782">
        <w:rPr>
          <w:lang w:val="uk-UA"/>
        </w:rPr>
        <w:t>Стягайло Валентина Анатоліївна</w:t>
      </w:r>
      <w:r w:rsidRPr="006D739C">
        <w:rPr>
          <w:lang w:val="uk-UA"/>
        </w:rPr>
        <w:t>;</w:t>
      </w:r>
    </w:p>
    <w:p w:rsidR="00983C00" w:rsidRPr="009D0834" w:rsidRDefault="00983C00" w:rsidP="009A705C">
      <w:pPr>
        <w:spacing w:line="240" w:lineRule="atLeast"/>
        <w:rPr>
          <w:color w:val="FF0000"/>
          <w:lang w:val="uk-UA"/>
        </w:rPr>
      </w:pPr>
    </w:p>
    <w:p w:rsidR="009A705C" w:rsidRDefault="00EC2227" w:rsidP="009A705C">
      <w:pPr>
        <w:jc w:val="center"/>
        <w:rPr>
          <w:b/>
          <w:i/>
          <w:lang w:val="uk-UA"/>
        </w:rPr>
      </w:pPr>
      <w:r>
        <w:rPr>
          <w:b/>
          <w:i/>
          <w:lang w:val="uk-UA"/>
        </w:rPr>
        <w:t>1</w:t>
      </w:r>
      <w:r w:rsidR="00797434">
        <w:rPr>
          <w:b/>
          <w:i/>
          <w:lang w:val="uk-UA"/>
        </w:rPr>
        <w:t>.</w:t>
      </w:r>
      <w:r w:rsidR="009A705C">
        <w:rPr>
          <w:b/>
          <w:i/>
          <w:lang w:val="uk-UA"/>
        </w:rPr>
        <w:t xml:space="preserve"> </w:t>
      </w:r>
      <w:r w:rsidR="009A705C" w:rsidRPr="000B4CE1">
        <w:rPr>
          <w:b/>
          <w:i/>
          <w:lang w:val="uk-UA"/>
        </w:rPr>
        <w:t>О</w:t>
      </w:r>
      <w:r w:rsidR="009A705C" w:rsidRPr="00A96D3A">
        <w:rPr>
          <w:b/>
          <w:i/>
          <w:lang w:val="uk-UA"/>
        </w:rPr>
        <w:t>пис  аудиторської  перевірки</w:t>
      </w:r>
      <w:r w:rsidR="00B817E2">
        <w:rPr>
          <w:b/>
          <w:i/>
          <w:lang w:val="uk-UA"/>
        </w:rPr>
        <w:t>.</w:t>
      </w:r>
    </w:p>
    <w:p w:rsidR="009A705C" w:rsidRPr="00AF0134" w:rsidRDefault="009A705C" w:rsidP="009A705C">
      <w:pPr>
        <w:jc w:val="center"/>
        <w:rPr>
          <w:i/>
          <w:lang w:val="uk-UA"/>
        </w:rPr>
      </w:pPr>
    </w:p>
    <w:p w:rsidR="00B7083F" w:rsidRPr="00EC2227" w:rsidRDefault="00E5406F" w:rsidP="00983C00">
      <w:pPr>
        <w:pStyle w:val="a9"/>
        <w:jc w:val="both"/>
        <w:rPr>
          <w:lang w:val="uk-UA"/>
        </w:rPr>
      </w:pPr>
      <w:r>
        <w:rPr>
          <w:lang w:val="uk-UA"/>
        </w:rPr>
        <w:t xml:space="preserve">      </w:t>
      </w:r>
      <w:r w:rsidR="00983C00" w:rsidRPr="00983C00">
        <w:rPr>
          <w:lang w:val="uk-UA"/>
        </w:rPr>
        <w:t xml:space="preserve">Дана аудиторська перевірка здійснена відповідно до Міжнародних  стандартів аудиту, зокрема: МСА 200 «Загальні цілі незалежного аудитора та проведення аудиту відповідно до Міжнародних стандартів аудиту», МСА 315 «Ідентифікація та оцінка ризиків суттєвих викривлень через розуміння суб’єкта господарювання і його середовище », МСА 570 «Безперервність », </w:t>
      </w:r>
      <w:r w:rsidR="00797434">
        <w:rPr>
          <w:lang w:val="uk-UA"/>
        </w:rPr>
        <w:t>МСА</w:t>
      </w:r>
      <w:r w:rsidR="00983C00" w:rsidRPr="00983C00">
        <w:rPr>
          <w:lang w:val="uk-UA"/>
        </w:rPr>
        <w:t xml:space="preserve"> 705 «Модифікація думки у звіті незалежного аудитора», </w:t>
      </w:r>
      <w:r w:rsidR="00797434">
        <w:rPr>
          <w:lang w:val="uk-UA"/>
        </w:rPr>
        <w:t>МСА</w:t>
      </w:r>
      <w:r w:rsidR="00983C00" w:rsidRPr="00983C00">
        <w:rPr>
          <w:lang w:val="uk-UA"/>
        </w:rPr>
        <w:t xml:space="preserve"> 706 «Пояснювальні параграфи та параграфи з інших питань у звіті незалежного аудитора» та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та зареєстровано в Міністерстві юстиції України 24.12.2013 року за  № 2180 / 24712 (зі змінами та доповненнями).</w:t>
      </w:r>
    </w:p>
    <w:p w:rsidR="00B971DB" w:rsidRDefault="00E5406F" w:rsidP="0097678E">
      <w:pPr>
        <w:pStyle w:val="rvps2"/>
        <w:shd w:val="clear" w:color="auto" w:fill="FFFFFF"/>
        <w:tabs>
          <w:tab w:val="left" w:pos="360"/>
        </w:tabs>
        <w:spacing w:before="0" w:beforeAutospacing="0" w:after="0" w:afterAutospacing="0"/>
        <w:jc w:val="both"/>
        <w:textAlignment w:val="baseline"/>
        <w:rPr>
          <w:lang w:val="uk-UA"/>
        </w:rPr>
      </w:pPr>
      <w:r>
        <w:rPr>
          <w:shd w:val="clear" w:color="auto" w:fill="FFFFFF"/>
          <w:lang w:val="uk-UA"/>
        </w:rPr>
        <w:t xml:space="preserve">     </w:t>
      </w:r>
      <w:r w:rsidRPr="00A51F33">
        <w:rPr>
          <w:shd w:val="clear" w:color="auto" w:fill="FFFFFF"/>
          <w:lang w:val="uk-UA"/>
        </w:rPr>
        <w:t>Ф</w:t>
      </w:r>
      <w:r w:rsidRPr="00A51F33">
        <w:rPr>
          <w:bCs/>
          <w:color w:val="000000"/>
          <w:lang w:val="uk-UA"/>
        </w:rPr>
        <w:t>інансова звітність акціонерного товариства за 201</w:t>
      </w:r>
      <w:r w:rsidR="00D83A54">
        <w:rPr>
          <w:bCs/>
          <w:color w:val="000000"/>
          <w:lang w:val="uk-UA"/>
        </w:rPr>
        <w:t>6</w:t>
      </w:r>
      <w:r w:rsidRPr="00A51F33">
        <w:rPr>
          <w:bCs/>
          <w:color w:val="000000"/>
          <w:lang w:val="uk-UA"/>
        </w:rPr>
        <w:t xml:space="preserve"> рік складена по формах, встановлених Національним положенням (стандартом) бухгалтерського обліку 1 </w:t>
      </w:r>
      <w:r w:rsidRPr="00A51F33">
        <w:rPr>
          <w:lang w:val="uk-UA"/>
        </w:rPr>
        <w:t>„</w:t>
      </w:r>
      <w:r w:rsidRPr="00A51F33">
        <w:rPr>
          <w:bCs/>
          <w:color w:val="000000"/>
          <w:lang w:val="uk-UA"/>
        </w:rPr>
        <w:t>Загальні вимоги до фінансової звітності"</w:t>
      </w:r>
      <w:r w:rsidR="00797434">
        <w:rPr>
          <w:bCs/>
          <w:color w:val="000000"/>
          <w:lang w:val="uk-UA"/>
        </w:rPr>
        <w:t>,</w:t>
      </w:r>
      <w:r w:rsidRPr="00A51F33">
        <w:rPr>
          <w:bCs/>
          <w:color w:val="000000"/>
          <w:lang w:val="uk-UA"/>
        </w:rPr>
        <w:t xml:space="preserve"> затвердженими наказом Міністерства фінансів України від 07.02.2013 року № 73</w:t>
      </w:r>
      <w:r w:rsidRPr="00A51F33">
        <w:rPr>
          <w:lang w:val="uk-UA"/>
        </w:rPr>
        <w:t xml:space="preserve"> і зареєстрованим у Міністерстві юстиції України 28 лютого 2013 року за № 336/22868</w:t>
      </w:r>
      <w:r w:rsidRPr="00A51F33">
        <w:rPr>
          <w:bCs/>
          <w:color w:val="000000"/>
          <w:lang w:val="uk-UA"/>
        </w:rPr>
        <w:t xml:space="preserve"> </w:t>
      </w:r>
      <w:r w:rsidRPr="00A51F33">
        <w:rPr>
          <w:lang w:val="uk-UA"/>
        </w:rPr>
        <w:t xml:space="preserve">із змінами і доповненнями. </w:t>
      </w:r>
    </w:p>
    <w:p w:rsidR="00233401" w:rsidRDefault="000B7B04" w:rsidP="0097678E">
      <w:pPr>
        <w:pStyle w:val="rvps2"/>
        <w:shd w:val="clear" w:color="auto" w:fill="FFFFFF"/>
        <w:tabs>
          <w:tab w:val="left" w:pos="360"/>
        </w:tabs>
        <w:spacing w:before="0" w:beforeAutospacing="0" w:after="0" w:afterAutospacing="0"/>
        <w:jc w:val="both"/>
        <w:textAlignment w:val="baseline"/>
        <w:rPr>
          <w:lang w:val="uk-UA"/>
        </w:rPr>
      </w:pPr>
      <w:r>
        <w:rPr>
          <w:lang w:val="uk-UA"/>
        </w:rPr>
        <w:t xml:space="preserve">       Бухгалтерський облік господарських операцій здійснюється методом подвійного запису згідно з Планом рахунків бухгалтерського обліку, затвердженого наказом Міністерства фінансів України від 30.11.1999 року № 291 та зареєстрованого в Міністерстві юстиції України 21.12.1999 року за № 892/4185 (зі змінами й доповненнями) у відповідних журналах ордерах та аналітичних відомостях.</w:t>
      </w:r>
    </w:p>
    <w:p w:rsidR="00797434" w:rsidRDefault="00797434" w:rsidP="0097678E">
      <w:pPr>
        <w:pStyle w:val="rvps2"/>
        <w:shd w:val="clear" w:color="auto" w:fill="FFFFFF"/>
        <w:tabs>
          <w:tab w:val="left" w:pos="360"/>
        </w:tabs>
        <w:spacing w:before="0" w:beforeAutospacing="0" w:after="0" w:afterAutospacing="0"/>
        <w:jc w:val="both"/>
        <w:textAlignment w:val="baseline"/>
        <w:rPr>
          <w:lang w:val="uk-UA"/>
        </w:rPr>
      </w:pPr>
    </w:p>
    <w:p w:rsidR="00797434" w:rsidRPr="00C770AF" w:rsidRDefault="00797434" w:rsidP="0097678E">
      <w:pPr>
        <w:pStyle w:val="rvps2"/>
        <w:shd w:val="clear" w:color="auto" w:fill="FFFFFF"/>
        <w:tabs>
          <w:tab w:val="left" w:pos="360"/>
        </w:tabs>
        <w:spacing w:before="0" w:beforeAutospacing="0" w:after="0" w:afterAutospacing="0"/>
        <w:jc w:val="both"/>
        <w:textAlignment w:val="baseline"/>
        <w:rPr>
          <w:lang w:val="uk-UA"/>
        </w:rPr>
      </w:pPr>
    </w:p>
    <w:p w:rsidR="00343F2C" w:rsidRPr="0018441A" w:rsidRDefault="00E5406F" w:rsidP="00B971DB">
      <w:pPr>
        <w:pStyle w:val="a6"/>
        <w:spacing w:after="0" w:line="240" w:lineRule="auto"/>
        <w:ind w:left="0" w:firstLine="426"/>
        <w:jc w:val="both"/>
        <w:rPr>
          <w:rFonts w:ascii="Times New Roman" w:hAnsi="Times New Roman"/>
          <w:sz w:val="24"/>
          <w:szCs w:val="24"/>
        </w:rPr>
      </w:pPr>
      <w:r w:rsidRPr="007A102C">
        <w:rPr>
          <w:rFonts w:ascii="Times New Roman" w:hAnsi="Times New Roman"/>
          <w:sz w:val="24"/>
          <w:szCs w:val="24"/>
        </w:rPr>
        <w:t>У своїй роботі</w:t>
      </w:r>
      <w:r>
        <w:rPr>
          <w:rFonts w:ascii="Times New Roman" w:hAnsi="Times New Roman"/>
          <w:sz w:val="24"/>
          <w:szCs w:val="24"/>
        </w:rPr>
        <w:t xml:space="preserve"> </w:t>
      </w:r>
      <w:r w:rsidRPr="007A102C">
        <w:rPr>
          <w:rFonts w:ascii="Times New Roman" w:hAnsi="Times New Roman"/>
          <w:sz w:val="24"/>
          <w:szCs w:val="24"/>
        </w:rPr>
        <w:t xml:space="preserve"> аудитор використовував принцип вибіркової перевірки. Під час перевірки до уваги бралися тільки суттєві викривлення. Планування і проведення аудиту було </w:t>
      </w:r>
      <w:r w:rsidR="000B7B04">
        <w:rPr>
          <w:rFonts w:ascii="Times New Roman" w:hAnsi="Times New Roman"/>
          <w:sz w:val="24"/>
          <w:szCs w:val="24"/>
        </w:rPr>
        <w:t>спрямоване на одержання</w:t>
      </w:r>
      <w:r w:rsidRPr="007A102C">
        <w:rPr>
          <w:rFonts w:ascii="Times New Roman" w:hAnsi="Times New Roman"/>
          <w:sz w:val="24"/>
          <w:szCs w:val="24"/>
        </w:rPr>
        <w:t xml:space="preserve"> підтверджень щодо відсутності у фінансовій звітності суттєвих помилок. Поставлені цілі до аудиторської перевірки: висловити професійну думку незалежного аудитора щодо достовірності фінансових звітів </w:t>
      </w:r>
      <w:r>
        <w:rPr>
          <w:rFonts w:ascii="Times New Roman" w:hAnsi="Times New Roman"/>
          <w:sz w:val="24"/>
          <w:szCs w:val="24"/>
        </w:rPr>
        <w:t xml:space="preserve">Приватного акціонерного товариства </w:t>
      </w:r>
      <w:r w:rsidRPr="00797434">
        <w:rPr>
          <w:rFonts w:ascii="Times New Roman" w:hAnsi="Times New Roman"/>
          <w:sz w:val="24"/>
          <w:szCs w:val="24"/>
        </w:rPr>
        <w:t>«</w:t>
      </w:r>
      <w:r w:rsidR="00A95782" w:rsidRPr="00797434">
        <w:rPr>
          <w:rFonts w:ascii="Times New Roman" w:hAnsi="Times New Roman"/>
          <w:sz w:val="24"/>
          <w:szCs w:val="24"/>
        </w:rPr>
        <w:t>Укртранс-Вінниця</w:t>
      </w:r>
      <w:r w:rsidRPr="00797434">
        <w:rPr>
          <w:rFonts w:ascii="Times New Roman" w:hAnsi="Times New Roman"/>
          <w:sz w:val="24"/>
          <w:szCs w:val="24"/>
        </w:rPr>
        <w:t>»</w:t>
      </w:r>
      <w:r w:rsidRPr="007A102C">
        <w:rPr>
          <w:rFonts w:ascii="Times New Roman" w:hAnsi="Times New Roman"/>
          <w:sz w:val="24"/>
          <w:szCs w:val="24"/>
        </w:rPr>
        <w:t xml:space="preserve"> за 201</w:t>
      </w:r>
      <w:r w:rsidR="00D83A54">
        <w:rPr>
          <w:rFonts w:ascii="Times New Roman" w:hAnsi="Times New Roman"/>
          <w:sz w:val="24"/>
          <w:szCs w:val="24"/>
        </w:rPr>
        <w:t>6</w:t>
      </w:r>
      <w:r w:rsidR="00661204">
        <w:rPr>
          <w:rFonts w:ascii="Times New Roman" w:hAnsi="Times New Roman"/>
          <w:sz w:val="24"/>
          <w:szCs w:val="24"/>
        </w:rPr>
        <w:t xml:space="preserve"> </w:t>
      </w:r>
      <w:r w:rsidRPr="007A102C">
        <w:rPr>
          <w:rFonts w:ascii="Times New Roman" w:hAnsi="Times New Roman"/>
          <w:sz w:val="24"/>
          <w:szCs w:val="24"/>
        </w:rPr>
        <w:t>р</w:t>
      </w:r>
      <w:r w:rsidR="00B971DB">
        <w:rPr>
          <w:rFonts w:ascii="Times New Roman" w:hAnsi="Times New Roman"/>
          <w:sz w:val="24"/>
          <w:szCs w:val="24"/>
        </w:rPr>
        <w:t>ік</w:t>
      </w:r>
      <w:r w:rsidRPr="007A102C">
        <w:rPr>
          <w:rFonts w:ascii="Times New Roman" w:hAnsi="Times New Roman"/>
          <w:sz w:val="24"/>
          <w:szCs w:val="24"/>
        </w:rPr>
        <w:t xml:space="preserve"> та її відповідності встановленим нормам складання фінансової звітності за </w:t>
      </w:r>
      <w:r w:rsidR="00661204">
        <w:rPr>
          <w:rFonts w:ascii="Times New Roman" w:hAnsi="Times New Roman"/>
          <w:sz w:val="24"/>
          <w:szCs w:val="24"/>
        </w:rPr>
        <w:t>П(С)БО</w:t>
      </w:r>
      <w:r w:rsidRPr="007A102C">
        <w:rPr>
          <w:rFonts w:ascii="Times New Roman" w:hAnsi="Times New Roman"/>
          <w:sz w:val="24"/>
          <w:szCs w:val="24"/>
        </w:rPr>
        <w:t xml:space="preserve">. </w:t>
      </w:r>
    </w:p>
    <w:p w:rsidR="00C770AF" w:rsidRPr="0018441A" w:rsidRDefault="00C770AF" w:rsidP="00B971DB">
      <w:pPr>
        <w:pStyle w:val="a6"/>
        <w:spacing w:after="0" w:line="240" w:lineRule="auto"/>
        <w:ind w:left="0" w:firstLine="426"/>
        <w:jc w:val="both"/>
        <w:rPr>
          <w:rFonts w:ascii="Times New Roman" w:hAnsi="Times New Roman"/>
          <w:sz w:val="24"/>
          <w:szCs w:val="24"/>
        </w:rPr>
      </w:pPr>
    </w:p>
    <w:p w:rsidR="000D4836" w:rsidRPr="005C42BF" w:rsidRDefault="000D4836" w:rsidP="00E5406F">
      <w:pPr>
        <w:pStyle w:val="a6"/>
        <w:spacing w:after="0" w:line="240" w:lineRule="auto"/>
        <w:ind w:left="0" w:firstLine="426"/>
        <w:jc w:val="both"/>
        <w:rPr>
          <w:rFonts w:ascii="Times New Roman" w:hAnsi="Times New Roman"/>
          <w:sz w:val="24"/>
          <w:szCs w:val="24"/>
        </w:rPr>
      </w:pPr>
      <w:r w:rsidRPr="005C42BF">
        <w:rPr>
          <w:rFonts w:ascii="Times New Roman" w:hAnsi="Times New Roman"/>
          <w:sz w:val="24"/>
          <w:szCs w:val="24"/>
        </w:rPr>
        <w:t xml:space="preserve">Рішенням Наглядової ради </w:t>
      </w:r>
      <w:r w:rsidR="00C03E12">
        <w:rPr>
          <w:rFonts w:ascii="Times New Roman" w:hAnsi="Times New Roman"/>
          <w:sz w:val="24"/>
          <w:szCs w:val="24"/>
        </w:rPr>
        <w:t xml:space="preserve">№1\2017 </w:t>
      </w:r>
      <w:bookmarkStart w:id="0" w:name="_GoBack"/>
      <w:bookmarkEnd w:id="0"/>
      <w:r w:rsidRPr="005C42BF">
        <w:rPr>
          <w:rFonts w:ascii="Times New Roman" w:hAnsi="Times New Roman"/>
          <w:sz w:val="24"/>
          <w:szCs w:val="24"/>
        </w:rPr>
        <w:t xml:space="preserve">від </w:t>
      </w:r>
      <w:r w:rsidR="009F276C" w:rsidRPr="005C42BF">
        <w:rPr>
          <w:rFonts w:ascii="Times New Roman" w:hAnsi="Times New Roman"/>
          <w:sz w:val="24"/>
          <w:szCs w:val="24"/>
        </w:rPr>
        <w:t>3</w:t>
      </w:r>
      <w:r w:rsidR="00FF4F3B">
        <w:rPr>
          <w:rFonts w:ascii="Times New Roman" w:hAnsi="Times New Roman"/>
          <w:sz w:val="24"/>
          <w:szCs w:val="24"/>
        </w:rPr>
        <w:t>0</w:t>
      </w:r>
      <w:r w:rsidR="009F276C" w:rsidRPr="005C42BF">
        <w:rPr>
          <w:rFonts w:ascii="Times New Roman" w:hAnsi="Times New Roman"/>
          <w:sz w:val="24"/>
          <w:szCs w:val="24"/>
        </w:rPr>
        <w:t xml:space="preserve"> </w:t>
      </w:r>
      <w:r w:rsidR="00FF4F3B">
        <w:rPr>
          <w:rFonts w:ascii="Times New Roman" w:hAnsi="Times New Roman"/>
          <w:sz w:val="24"/>
          <w:szCs w:val="24"/>
        </w:rPr>
        <w:t>січня</w:t>
      </w:r>
      <w:r w:rsidRPr="005C42BF">
        <w:rPr>
          <w:rFonts w:ascii="Times New Roman" w:hAnsi="Times New Roman"/>
          <w:sz w:val="24"/>
          <w:szCs w:val="24"/>
        </w:rPr>
        <w:t xml:space="preserve"> 2017 року затверджено фінансову звітність </w:t>
      </w:r>
      <w:r w:rsidR="00343F2C" w:rsidRPr="00797434">
        <w:rPr>
          <w:rFonts w:ascii="Times New Roman" w:hAnsi="Times New Roman"/>
          <w:sz w:val="24"/>
          <w:szCs w:val="24"/>
        </w:rPr>
        <w:t>ПрАТ «</w:t>
      </w:r>
      <w:r w:rsidR="00A95782" w:rsidRPr="00797434">
        <w:rPr>
          <w:rFonts w:ascii="Times New Roman" w:hAnsi="Times New Roman"/>
          <w:sz w:val="24"/>
          <w:szCs w:val="24"/>
        </w:rPr>
        <w:t>Укртранс-Вінниця</w:t>
      </w:r>
      <w:r w:rsidR="00B971DB" w:rsidRPr="00797434">
        <w:rPr>
          <w:rFonts w:ascii="Times New Roman" w:hAnsi="Times New Roman"/>
          <w:sz w:val="24"/>
          <w:szCs w:val="24"/>
        </w:rPr>
        <w:t>»</w:t>
      </w:r>
      <w:r w:rsidR="008A4869" w:rsidRPr="005C42BF">
        <w:rPr>
          <w:rFonts w:ascii="Times New Roman" w:hAnsi="Times New Roman"/>
          <w:sz w:val="24"/>
          <w:szCs w:val="24"/>
        </w:rPr>
        <w:t xml:space="preserve"> </w:t>
      </w:r>
      <w:r w:rsidRPr="005C42BF">
        <w:rPr>
          <w:rFonts w:ascii="Times New Roman" w:hAnsi="Times New Roman"/>
          <w:sz w:val="24"/>
          <w:szCs w:val="24"/>
        </w:rPr>
        <w:t xml:space="preserve">за 2016 рік.  </w:t>
      </w:r>
    </w:p>
    <w:p w:rsidR="00E5406F" w:rsidRPr="00FC313B" w:rsidRDefault="00E5406F" w:rsidP="00E5406F">
      <w:pPr>
        <w:pStyle w:val="a6"/>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7A102C">
        <w:rPr>
          <w:rFonts w:ascii="Times New Roman" w:hAnsi="Times New Roman"/>
          <w:sz w:val="24"/>
          <w:szCs w:val="24"/>
        </w:rPr>
        <w:t>Т</w:t>
      </w:r>
      <w:r>
        <w:rPr>
          <w:rFonts w:ascii="Times New Roman" w:hAnsi="Times New Roman"/>
          <w:sz w:val="24"/>
          <w:szCs w:val="24"/>
        </w:rPr>
        <w:t>овариство</w:t>
      </w:r>
      <w:r w:rsidRPr="007A102C">
        <w:rPr>
          <w:rFonts w:ascii="Times New Roman" w:hAnsi="Times New Roman"/>
          <w:sz w:val="24"/>
          <w:szCs w:val="24"/>
        </w:rPr>
        <w:t xml:space="preserve"> веде бухгалтерський облік згідно з обраною обліковою політикою, принципи якої залишились незмінними протягом періоду, що перевірявся. Аудиторська перевірка була спланована і виконана з метою збору достовірних даних про те, що фінансові звіти товариства не містять суттєвих помилок. На думку аудитора, отримані аудиторські докази є достатньою та відповідною основою для висловлення аудиторської думки. Аудиторський висновок складено відповідно до Закону України «Про державне регулювання ринку цінних паперів в Україні»,  Закону України «Про цінні папери та фондовий ринок», Законів України «Про аудиторську діяльність», «Про акціонерні товариства», Міжнародних стандартів контролю якості аудиту, огляду, іншого надання впевненості та супутніх послуг , а також рішення Аудиторської палати України від 31.03.2011 № 122/2 «Про порядок застосування в Україні Стандартів аудиту та етики Міжнародної федерації бухгалтерів». </w:t>
      </w:r>
      <w:r>
        <w:rPr>
          <w:rFonts w:ascii="Times New Roman" w:hAnsi="Times New Roman"/>
          <w:sz w:val="24"/>
          <w:szCs w:val="24"/>
        </w:rPr>
        <w:t xml:space="preserve">    </w:t>
      </w:r>
    </w:p>
    <w:p w:rsidR="009A705C" w:rsidRDefault="009A705C" w:rsidP="009A705C">
      <w:pPr>
        <w:ind w:firstLine="540"/>
        <w:jc w:val="center"/>
        <w:rPr>
          <w:b/>
          <w:i/>
          <w:lang w:val="uk-UA"/>
        </w:rPr>
      </w:pPr>
    </w:p>
    <w:p w:rsidR="009A705C" w:rsidRDefault="009A705C" w:rsidP="009A705C">
      <w:pPr>
        <w:ind w:firstLine="540"/>
        <w:jc w:val="center"/>
        <w:rPr>
          <w:b/>
          <w:i/>
          <w:lang w:val="uk-UA"/>
        </w:rPr>
      </w:pPr>
      <w:r>
        <w:rPr>
          <w:b/>
          <w:i/>
          <w:snapToGrid w:val="0"/>
          <w:lang w:val="uk-UA"/>
        </w:rPr>
        <w:t xml:space="preserve"> 2</w:t>
      </w:r>
      <w:r w:rsidR="00B817E2">
        <w:rPr>
          <w:b/>
          <w:i/>
          <w:snapToGrid w:val="0"/>
          <w:lang w:val="uk-UA"/>
        </w:rPr>
        <w:t>.</w:t>
      </w:r>
      <w:r>
        <w:rPr>
          <w:b/>
          <w:i/>
          <w:lang w:val="uk-UA"/>
        </w:rPr>
        <w:t xml:space="preserve"> </w:t>
      </w:r>
      <w:r w:rsidRPr="00AC4278">
        <w:rPr>
          <w:b/>
          <w:i/>
          <w:lang w:val="uk-UA"/>
        </w:rPr>
        <w:t>Відповідальність управлінського персоналу</w:t>
      </w:r>
      <w:r w:rsidR="00B817E2">
        <w:rPr>
          <w:b/>
          <w:i/>
          <w:lang w:val="uk-UA"/>
        </w:rPr>
        <w:t>.</w:t>
      </w:r>
    </w:p>
    <w:p w:rsidR="009A705C" w:rsidRPr="00AF0134" w:rsidRDefault="009A705C" w:rsidP="009A705C">
      <w:pPr>
        <w:ind w:firstLine="540"/>
        <w:jc w:val="center"/>
        <w:rPr>
          <w:b/>
          <w:i/>
          <w:lang w:val="uk-UA"/>
        </w:rPr>
      </w:pPr>
    </w:p>
    <w:p w:rsidR="00233401" w:rsidRPr="007F25EC" w:rsidRDefault="009A705C" w:rsidP="007F25EC">
      <w:pPr>
        <w:ind w:firstLine="426"/>
        <w:jc w:val="both"/>
        <w:rPr>
          <w:lang w:val="uk-UA"/>
        </w:rPr>
      </w:pPr>
      <w:r>
        <w:rPr>
          <w:bCs/>
          <w:color w:val="000000"/>
          <w:lang w:val="uk-UA"/>
        </w:rPr>
        <w:t xml:space="preserve"> Згідно МСА 200 у</w:t>
      </w:r>
      <w:r w:rsidRPr="00721312">
        <w:rPr>
          <w:bCs/>
          <w:color w:val="000000"/>
          <w:lang w:val="uk-UA"/>
        </w:rPr>
        <w:t xml:space="preserve">правлінський персонал несе відповідальність за складання і достовірне подання цієї фінансової звітності відповідно до </w:t>
      </w:r>
      <w:r w:rsidR="00661204">
        <w:rPr>
          <w:bCs/>
          <w:color w:val="000000"/>
          <w:lang w:val="uk-UA"/>
        </w:rPr>
        <w:t>Національних положень (</w:t>
      </w:r>
      <w:r w:rsidRPr="00721312">
        <w:rPr>
          <w:bCs/>
          <w:color w:val="000000"/>
          <w:lang w:val="uk-UA"/>
        </w:rPr>
        <w:t xml:space="preserve"> стандартів</w:t>
      </w:r>
      <w:r w:rsidR="00661204">
        <w:rPr>
          <w:bCs/>
          <w:color w:val="000000"/>
          <w:lang w:val="uk-UA"/>
        </w:rPr>
        <w:t>)</w:t>
      </w:r>
      <w:r w:rsidRPr="00721312">
        <w:rPr>
          <w:bCs/>
          <w:color w:val="000000"/>
          <w:lang w:val="uk-UA"/>
        </w:rPr>
        <w:t xml:space="preserve"> </w:t>
      </w:r>
      <w:r w:rsidR="0097678E">
        <w:rPr>
          <w:bCs/>
          <w:color w:val="000000"/>
          <w:lang w:val="uk-UA"/>
        </w:rPr>
        <w:t xml:space="preserve">бухгалтерського обліку </w:t>
      </w:r>
      <w:r w:rsidRPr="00721312">
        <w:rPr>
          <w:bCs/>
          <w:color w:val="000000"/>
          <w:lang w:val="uk-UA"/>
        </w:rPr>
        <w:t>та такий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унаслідок шахрайства або помилки;</w:t>
      </w:r>
      <w:r w:rsidRPr="00721312">
        <w:rPr>
          <w:lang w:val="uk-UA"/>
        </w:rPr>
        <w:t xml:space="preserve"> виконання значних правочинів</w:t>
      </w:r>
      <w:r w:rsidR="0009023B">
        <w:rPr>
          <w:lang w:val="uk-UA"/>
        </w:rPr>
        <w:t>,</w:t>
      </w:r>
      <w:r w:rsidRPr="00721312">
        <w:rPr>
          <w:lang w:val="uk-UA"/>
        </w:rPr>
        <w:t xml:space="preserve"> наявності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Комісії разом з фінансовою звітністю;</w:t>
      </w:r>
      <w:r w:rsidRPr="00721312">
        <w:rPr>
          <w:sz w:val="28"/>
          <w:szCs w:val="28"/>
          <w:lang w:val="uk-UA"/>
        </w:rPr>
        <w:t xml:space="preserve"> </w:t>
      </w:r>
      <w:r w:rsidRPr="00721312">
        <w:rPr>
          <w:lang w:val="uk-UA"/>
        </w:rPr>
        <w:t>невідповідного використання управлінським персоналом припущення про безперервність діяльності емітента цінних паперів на основі проведеного фінансового аналізу діяльності емітента  у відповідності з вимогами МСА № 200</w:t>
      </w:r>
      <w:r>
        <w:rPr>
          <w:lang w:val="uk-UA"/>
        </w:rPr>
        <w:t xml:space="preserve"> </w:t>
      </w:r>
      <w:r w:rsidRPr="00721312">
        <w:rPr>
          <w:lang w:val="uk-UA"/>
        </w:rPr>
        <w:t>«Загальні цілі незалежного аудитора та проведення аудиту відповідно до міжнародних стандартів аудиту».</w:t>
      </w:r>
    </w:p>
    <w:p w:rsidR="00233401" w:rsidRDefault="00233401" w:rsidP="009A705C">
      <w:pPr>
        <w:ind w:firstLine="540"/>
        <w:jc w:val="center"/>
        <w:rPr>
          <w:b/>
          <w:i/>
          <w:snapToGrid w:val="0"/>
          <w:lang w:val="uk-UA"/>
        </w:rPr>
      </w:pPr>
    </w:p>
    <w:p w:rsidR="009A705C" w:rsidRDefault="009A705C" w:rsidP="009A705C">
      <w:pPr>
        <w:ind w:firstLine="540"/>
        <w:jc w:val="center"/>
        <w:rPr>
          <w:b/>
          <w:i/>
          <w:lang w:val="uk-UA"/>
        </w:rPr>
      </w:pPr>
      <w:r>
        <w:rPr>
          <w:b/>
          <w:i/>
          <w:snapToGrid w:val="0"/>
          <w:lang w:val="uk-UA"/>
        </w:rPr>
        <w:t xml:space="preserve"> 3</w:t>
      </w:r>
      <w:r w:rsidR="00B817E2">
        <w:rPr>
          <w:b/>
          <w:i/>
          <w:snapToGrid w:val="0"/>
          <w:lang w:val="uk-UA"/>
        </w:rPr>
        <w:t>.</w:t>
      </w:r>
      <w:r>
        <w:rPr>
          <w:b/>
          <w:i/>
          <w:snapToGrid w:val="0"/>
          <w:lang w:val="uk-UA"/>
        </w:rPr>
        <w:t xml:space="preserve"> </w:t>
      </w:r>
      <w:r w:rsidRPr="00A96D3A">
        <w:rPr>
          <w:b/>
          <w:i/>
          <w:lang w:val="uk-UA"/>
        </w:rPr>
        <w:t>Відповідальність аудитора</w:t>
      </w:r>
      <w:r w:rsidR="00B817E2">
        <w:rPr>
          <w:b/>
          <w:i/>
          <w:lang w:val="uk-UA"/>
        </w:rPr>
        <w:t>.</w:t>
      </w:r>
    </w:p>
    <w:p w:rsidR="009A705C" w:rsidRPr="00A96D3A" w:rsidRDefault="009A705C" w:rsidP="009A705C">
      <w:pPr>
        <w:ind w:firstLine="540"/>
        <w:jc w:val="center"/>
        <w:rPr>
          <w:b/>
          <w:lang w:val="uk-UA"/>
        </w:rPr>
      </w:pPr>
    </w:p>
    <w:p w:rsidR="00B7083F" w:rsidRPr="00A51F33" w:rsidRDefault="005B7C54" w:rsidP="00E5406F">
      <w:pPr>
        <w:jc w:val="both"/>
        <w:rPr>
          <w:color w:val="000000"/>
          <w:lang w:val="uk-UA"/>
        </w:rPr>
      </w:pPr>
      <w:r>
        <w:rPr>
          <w:color w:val="000000"/>
          <w:lang w:val="uk-UA"/>
        </w:rPr>
        <w:t xml:space="preserve">       </w:t>
      </w:r>
      <w:r w:rsidR="00E5406F" w:rsidRPr="00A51F33">
        <w:rPr>
          <w:color w:val="000000"/>
          <w:lang w:val="uk-UA"/>
        </w:rPr>
        <w:t>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Міжнародних стандартів аудиту. Ці стандарти вимагають від нас дотримання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5C42BF" w:rsidRPr="0018441A" w:rsidRDefault="00E5406F" w:rsidP="00E5406F">
      <w:pPr>
        <w:jc w:val="both"/>
        <w:rPr>
          <w:color w:val="000000"/>
          <w:lang w:val="uk-UA"/>
        </w:rPr>
      </w:pPr>
      <w:r>
        <w:rPr>
          <w:color w:val="000000"/>
          <w:lang w:val="uk-UA"/>
        </w:rPr>
        <w:t xml:space="preserve">      </w:t>
      </w:r>
      <w:r w:rsidRPr="00A51F33">
        <w:rPr>
          <w:color w:val="000000"/>
          <w:lang w:val="uk-UA"/>
        </w:rPr>
        <w:t>Аудит передбачає виконання аудиторських процедур для отримання аудиторських доказів стосовно сум та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помилок. 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w:t>
      </w:r>
      <w:r w:rsidR="007319DE">
        <w:rPr>
          <w:color w:val="000000"/>
          <w:lang w:val="uk-UA"/>
        </w:rPr>
        <w:t xml:space="preserve"> відпові</w:t>
      </w:r>
      <w:r w:rsidRPr="00A51F33">
        <w:rPr>
          <w:color w:val="000000"/>
          <w:lang w:val="uk-UA"/>
        </w:rPr>
        <w:t xml:space="preserve">дають обставинам, </w:t>
      </w:r>
      <w:r w:rsidR="007D6832">
        <w:rPr>
          <w:color w:val="000000"/>
          <w:lang w:val="uk-UA"/>
        </w:rPr>
        <w:t xml:space="preserve"> а не </w:t>
      </w:r>
      <w:r w:rsidRPr="00A51F33">
        <w:rPr>
          <w:color w:val="000000"/>
          <w:lang w:val="uk-UA"/>
        </w:rPr>
        <w:t xml:space="preserve">з метою висловлення думки щодо ефективності внутрішнього </w:t>
      </w:r>
    </w:p>
    <w:p w:rsidR="00B7083F" w:rsidRPr="00A51F33" w:rsidRDefault="00E5406F" w:rsidP="00E5406F">
      <w:pPr>
        <w:jc w:val="both"/>
        <w:rPr>
          <w:color w:val="000000"/>
          <w:lang w:val="uk-UA"/>
        </w:rPr>
      </w:pPr>
      <w:r w:rsidRPr="00A51F33">
        <w:rPr>
          <w:color w:val="000000"/>
          <w:lang w:val="uk-UA"/>
        </w:rPr>
        <w:t xml:space="preserve">контролю суб’єкта господарювання. 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фінансової звітності. </w:t>
      </w:r>
    </w:p>
    <w:p w:rsidR="00E5406F" w:rsidRDefault="00E5406F" w:rsidP="00E5406F">
      <w:pPr>
        <w:tabs>
          <w:tab w:val="left" w:pos="567"/>
          <w:tab w:val="left" w:pos="5580"/>
        </w:tabs>
        <w:jc w:val="both"/>
        <w:rPr>
          <w:lang w:val="uk-UA"/>
        </w:rPr>
      </w:pPr>
      <w:r>
        <w:rPr>
          <w:lang w:val="uk-UA"/>
        </w:rPr>
        <w:t xml:space="preserve">     </w:t>
      </w:r>
      <w:r w:rsidRPr="00A51F33">
        <w:rPr>
          <w:lang w:val="uk-UA"/>
        </w:rPr>
        <w:t>Ми вважаємо, що отримали достатні й належні аудиторські докази для висловлення нашої умовно-позитивної думки.</w:t>
      </w:r>
    </w:p>
    <w:p w:rsidR="00B817E2" w:rsidRDefault="00B817E2" w:rsidP="00E5406F">
      <w:pPr>
        <w:tabs>
          <w:tab w:val="left" w:pos="567"/>
          <w:tab w:val="left" w:pos="5580"/>
        </w:tabs>
        <w:jc w:val="both"/>
        <w:rPr>
          <w:lang w:val="uk-UA"/>
        </w:rPr>
      </w:pPr>
    </w:p>
    <w:p w:rsidR="00092BDA" w:rsidRPr="00A51F33" w:rsidRDefault="00092BDA" w:rsidP="00E5406F">
      <w:pPr>
        <w:tabs>
          <w:tab w:val="left" w:pos="567"/>
          <w:tab w:val="left" w:pos="5580"/>
        </w:tabs>
        <w:jc w:val="both"/>
        <w:rPr>
          <w:lang w:val="uk-UA"/>
        </w:rPr>
      </w:pPr>
    </w:p>
    <w:p w:rsidR="009A705C" w:rsidRDefault="009A705C" w:rsidP="009A705C">
      <w:pPr>
        <w:pStyle w:val="a6"/>
        <w:tabs>
          <w:tab w:val="left" w:pos="0"/>
        </w:tabs>
        <w:spacing w:after="0" w:line="240" w:lineRule="auto"/>
        <w:ind w:left="0"/>
        <w:jc w:val="center"/>
        <w:rPr>
          <w:rFonts w:ascii="Times New Roman" w:hAnsi="Times New Roman"/>
          <w:b/>
          <w:i/>
          <w:sz w:val="24"/>
          <w:szCs w:val="24"/>
        </w:rPr>
      </w:pPr>
      <w:r w:rsidRPr="00E81057">
        <w:rPr>
          <w:rFonts w:ascii="Times New Roman" w:hAnsi="Times New Roman"/>
          <w:b/>
          <w:i/>
          <w:snapToGrid w:val="0"/>
          <w:sz w:val="24"/>
          <w:szCs w:val="24"/>
        </w:rPr>
        <w:t xml:space="preserve"> 4</w:t>
      </w:r>
      <w:r w:rsidR="00B817E2">
        <w:rPr>
          <w:rFonts w:ascii="Times New Roman" w:hAnsi="Times New Roman"/>
          <w:b/>
          <w:i/>
          <w:snapToGrid w:val="0"/>
          <w:sz w:val="24"/>
          <w:szCs w:val="24"/>
        </w:rPr>
        <w:t>.</w:t>
      </w:r>
      <w:r w:rsidRPr="00E81057">
        <w:rPr>
          <w:rFonts w:ascii="Times New Roman" w:hAnsi="Times New Roman"/>
          <w:b/>
          <w:i/>
          <w:snapToGrid w:val="0"/>
          <w:sz w:val="24"/>
          <w:szCs w:val="24"/>
        </w:rPr>
        <w:t xml:space="preserve"> </w:t>
      </w:r>
      <w:r w:rsidRPr="00E81057">
        <w:rPr>
          <w:rFonts w:ascii="Times New Roman" w:hAnsi="Times New Roman"/>
          <w:b/>
          <w:i/>
          <w:sz w:val="24"/>
          <w:szCs w:val="24"/>
        </w:rPr>
        <w:t>Підстава</w:t>
      </w:r>
      <w:r w:rsidRPr="00BD122D">
        <w:rPr>
          <w:rFonts w:ascii="Times New Roman" w:hAnsi="Times New Roman"/>
          <w:b/>
          <w:i/>
          <w:sz w:val="24"/>
          <w:szCs w:val="24"/>
        </w:rPr>
        <w:t xml:space="preserve"> для вислов</w:t>
      </w:r>
      <w:r>
        <w:rPr>
          <w:rFonts w:ascii="Times New Roman" w:hAnsi="Times New Roman"/>
          <w:b/>
          <w:i/>
          <w:sz w:val="24"/>
          <w:szCs w:val="24"/>
        </w:rPr>
        <w:t>лювання умовно-позитивної думки</w:t>
      </w:r>
      <w:r w:rsidR="00B817E2">
        <w:rPr>
          <w:rFonts w:ascii="Times New Roman" w:hAnsi="Times New Roman"/>
          <w:b/>
          <w:i/>
          <w:sz w:val="24"/>
          <w:szCs w:val="24"/>
        </w:rPr>
        <w:t>.</w:t>
      </w:r>
    </w:p>
    <w:p w:rsidR="00BE56E7" w:rsidRDefault="00BE56E7" w:rsidP="009A705C">
      <w:pPr>
        <w:pStyle w:val="a6"/>
        <w:tabs>
          <w:tab w:val="left" w:pos="0"/>
        </w:tabs>
        <w:spacing w:after="0" w:line="240" w:lineRule="auto"/>
        <w:ind w:left="0"/>
        <w:jc w:val="center"/>
        <w:rPr>
          <w:rFonts w:ascii="Times New Roman" w:hAnsi="Times New Roman"/>
          <w:b/>
          <w:i/>
          <w:sz w:val="24"/>
          <w:szCs w:val="24"/>
        </w:rPr>
      </w:pPr>
    </w:p>
    <w:p w:rsidR="009A705C" w:rsidRPr="005E2F8A" w:rsidRDefault="00BE56E7" w:rsidP="005E2F8A">
      <w:pPr>
        <w:pStyle w:val="a6"/>
        <w:tabs>
          <w:tab w:val="left" w:pos="0"/>
          <w:tab w:val="left" w:pos="426"/>
        </w:tabs>
        <w:spacing w:after="0" w:line="240" w:lineRule="auto"/>
        <w:ind w:left="0"/>
        <w:jc w:val="both"/>
        <w:rPr>
          <w:rFonts w:ascii="Times New Roman" w:hAnsi="Times New Roman"/>
          <w:sz w:val="24"/>
        </w:rPr>
      </w:pPr>
      <w:r>
        <w:rPr>
          <w:rFonts w:ascii="Times New Roman" w:hAnsi="Times New Roman"/>
          <w:b/>
          <w:i/>
          <w:sz w:val="24"/>
          <w:szCs w:val="24"/>
        </w:rPr>
        <w:t xml:space="preserve">    </w:t>
      </w:r>
      <w:r w:rsidR="009902B0">
        <w:rPr>
          <w:rFonts w:ascii="Times New Roman" w:hAnsi="Times New Roman"/>
          <w:sz w:val="24"/>
        </w:rPr>
        <w:t>Станом на 31.12.2016 року на балансі обліковуються повністю замортизовані основні засоби, які використовуються у фінансово – господарській діяльності Товариства, переоцінка (дооцінка +, уцінка -) яких не проводилась.</w:t>
      </w:r>
      <w:r w:rsidR="00D44B30">
        <w:rPr>
          <w:rFonts w:ascii="Times New Roman" w:hAnsi="Times New Roman"/>
          <w:color w:val="000000"/>
          <w:sz w:val="24"/>
          <w:szCs w:val="24"/>
          <w:lang w:eastAsia="uk-UA"/>
        </w:rPr>
        <w:t xml:space="preserve">   </w:t>
      </w:r>
      <w:r w:rsidR="00D44B30" w:rsidRPr="005E2F8A">
        <w:rPr>
          <w:rFonts w:ascii="Times New Roman" w:hAnsi="Times New Roman"/>
          <w:sz w:val="24"/>
          <w:szCs w:val="24"/>
          <w:lang w:eastAsia="uk-UA"/>
        </w:rPr>
        <w:t xml:space="preserve">Аудитор не спостерігав за інвентаризацією наявних запасів товариства станом на </w:t>
      </w:r>
      <w:r w:rsidR="009902B0" w:rsidRPr="005E2F8A">
        <w:rPr>
          <w:rFonts w:ascii="Times New Roman" w:hAnsi="Times New Roman"/>
          <w:sz w:val="24"/>
          <w:szCs w:val="24"/>
          <w:lang w:eastAsia="uk-UA"/>
        </w:rPr>
        <w:t>дату балансу</w:t>
      </w:r>
      <w:r w:rsidR="00D44B30" w:rsidRPr="005E2F8A">
        <w:rPr>
          <w:rFonts w:ascii="Times New Roman" w:hAnsi="Times New Roman"/>
          <w:sz w:val="24"/>
          <w:szCs w:val="24"/>
          <w:lang w:eastAsia="uk-UA"/>
        </w:rPr>
        <w:t xml:space="preserve">, оскільки ця дата передувала даті укладення договору на проведення аудиторської перевірки. Через характер облікових запасів товариства ми не мали змоги підтвердити кількість запасів за допомогою інших аудиторських процедур, крім того за звітний 2016 рік не нараховувались забезпечення на виплату відпусток працівникам товариства, </w:t>
      </w:r>
      <w:r w:rsidR="009902B0" w:rsidRPr="005E2F8A">
        <w:rPr>
          <w:rFonts w:ascii="Times New Roman" w:hAnsi="Times New Roman"/>
          <w:sz w:val="24"/>
        </w:rPr>
        <w:t>що могло б вплинути на визначення фінансового результату звітного і майбутніх періодів</w:t>
      </w:r>
      <w:r w:rsidR="005E2F8A">
        <w:rPr>
          <w:rFonts w:ascii="Times New Roman" w:hAnsi="Times New Roman"/>
          <w:sz w:val="24"/>
        </w:rPr>
        <w:t xml:space="preserve">. Це </w:t>
      </w:r>
      <w:r w:rsidR="009902B0" w:rsidRPr="005E2F8A">
        <w:rPr>
          <w:rFonts w:ascii="Times New Roman" w:hAnsi="Times New Roman"/>
          <w:sz w:val="24"/>
        </w:rPr>
        <w:t xml:space="preserve"> дає</w:t>
      </w:r>
      <w:r w:rsidR="00D44B30" w:rsidRPr="005E2F8A">
        <w:rPr>
          <w:rFonts w:ascii="Times New Roman" w:hAnsi="Times New Roman"/>
          <w:sz w:val="24"/>
          <w:szCs w:val="24"/>
          <w:lang w:eastAsia="uk-UA"/>
        </w:rPr>
        <w:t xml:space="preserve"> підстав</w:t>
      </w:r>
      <w:r w:rsidR="009902B0" w:rsidRPr="005E2F8A">
        <w:rPr>
          <w:rFonts w:ascii="Times New Roman" w:hAnsi="Times New Roman"/>
          <w:sz w:val="24"/>
          <w:szCs w:val="24"/>
          <w:lang w:eastAsia="uk-UA"/>
        </w:rPr>
        <w:t>и</w:t>
      </w:r>
      <w:r w:rsidR="00D44B30" w:rsidRPr="005E2F8A">
        <w:rPr>
          <w:rFonts w:ascii="Times New Roman" w:hAnsi="Times New Roman"/>
          <w:sz w:val="24"/>
          <w:szCs w:val="24"/>
          <w:lang w:eastAsia="uk-UA"/>
        </w:rPr>
        <w:t xml:space="preserve"> для висловл</w:t>
      </w:r>
      <w:r w:rsidR="00484619">
        <w:rPr>
          <w:rFonts w:ascii="Times New Roman" w:hAnsi="Times New Roman"/>
          <w:sz w:val="24"/>
          <w:szCs w:val="24"/>
          <w:lang w:eastAsia="uk-UA"/>
        </w:rPr>
        <w:t>ення умовно – позитивної думки.</w:t>
      </w:r>
      <w:r w:rsidR="009A705C" w:rsidRPr="005E2F8A">
        <w:rPr>
          <w:rFonts w:ascii="Times New Roman" w:hAnsi="Times New Roman"/>
          <w:sz w:val="24"/>
          <w:szCs w:val="24"/>
        </w:rPr>
        <w:t xml:space="preserve"> </w:t>
      </w:r>
    </w:p>
    <w:p w:rsidR="009A705C" w:rsidRPr="005E2F8A" w:rsidRDefault="009A705C" w:rsidP="009A705C">
      <w:pPr>
        <w:pStyle w:val="a6"/>
        <w:tabs>
          <w:tab w:val="left" w:pos="0"/>
        </w:tabs>
        <w:spacing w:after="0" w:line="240" w:lineRule="auto"/>
        <w:ind w:left="0"/>
        <w:jc w:val="both"/>
        <w:rPr>
          <w:rFonts w:ascii="Times New Roman" w:hAnsi="Times New Roman"/>
          <w:sz w:val="24"/>
          <w:szCs w:val="24"/>
        </w:rPr>
      </w:pPr>
    </w:p>
    <w:p w:rsidR="009A705C" w:rsidRPr="00BD122D" w:rsidRDefault="00B817E2" w:rsidP="009A705C">
      <w:pPr>
        <w:jc w:val="center"/>
        <w:rPr>
          <w:b/>
          <w:i/>
          <w:lang w:val="uk-UA"/>
        </w:rPr>
      </w:pPr>
      <w:r>
        <w:rPr>
          <w:b/>
          <w:i/>
          <w:snapToGrid w:val="0"/>
          <w:lang w:val="uk-UA"/>
        </w:rPr>
        <w:t xml:space="preserve"> </w:t>
      </w:r>
      <w:r w:rsidR="009A705C">
        <w:rPr>
          <w:b/>
          <w:i/>
          <w:snapToGrid w:val="0"/>
          <w:lang w:val="uk-UA"/>
        </w:rPr>
        <w:t xml:space="preserve"> 5</w:t>
      </w:r>
      <w:r>
        <w:rPr>
          <w:b/>
          <w:i/>
          <w:snapToGrid w:val="0"/>
          <w:lang w:val="uk-UA"/>
        </w:rPr>
        <w:t>.</w:t>
      </w:r>
      <w:r w:rsidR="009A705C">
        <w:rPr>
          <w:b/>
          <w:i/>
          <w:snapToGrid w:val="0"/>
          <w:lang w:val="uk-UA"/>
        </w:rPr>
        <w:t xml:space="preserve"> </w:t>
      </w:r>
      <w:r w:rsidR="009A705C" w:rsidRPr="00BD122D">
        <w:rPr>
          <w:b/>
          <w:i/>
        </w:rPr>
        <w:t>Умовно-позитивн</w:t>
      </w:r>
      <w:r w:rsidR="009A705C" w:rsidRPr="00BD122D">
        <w:rPr>
          <w:b/>
          <w:i/>
          <w:lang w:val="uk-UA"/>
        </w:rPr>
        <w:t>а</w:t>
      </w:r>
      <w:r w:rsidR="009A705C" w:rsidRPr="00BD122D">
        <w:rPr>
          <w:b/>
          <w:i/>
        </w:rPr>
        <w:t xml:space="preserve"> </w:t>
      </w:r>
      <w:r w:rsidR="009A705C">
        <w:rPr>
          <w:b/>
          <w:i/>
          <w:lang w:val="uk-UA"/>
        </w:rPr>
        <w:t>думка відповідно до МСА 705 «Модифікація думки у звіті незалежного аудитора»</w:t>
      </w:r>
      <w:r>
        <w:rPr>
          <w:b/>
          <w:i/>
          <w:lang w:val="uk-UA"/>
        </w:rPr>
        <w:t>.</w:t>
      </w:r>
    </w:p>
    <w:p w:rsidR="009A705C" w:rsidRPr="00E70292" w:rsidRDefault="009A705C" w:rsidP="009A705C">
      <w:pPr>
        <w:jc w:val="both"/>
        <w:rPr>
          <w:b/>
          <w:i/>
          <w:lang w:val="uk-UA"/>
        </w:rPr>
      </w:pPr>
    </w:p>
    <w:p w:rsidR="009A705C" w:rsidRDefault="009A705C" w:rsidP="009A705C">
      <w:pPr>
        <w:ind w:firstLine="426"/>
        <w:jc w:val="both"/>
        <w:rPr>
          <w:color w:val="000000"/>
          <w:lang w:val="uk-UA"/>
        </w:rPr>
      </w:pPr>
      <w:r w:rsidRPr="00E70292">
        <w:rPr>
          <w:color w:val="000000"/>
          <w:lang w:val="uk-UA"/>
        </w:rPr>
        <w:t>На наш</w:t>
      </w:r>
      <w:r w:rsidR="007C7FE1" w:rsidRPr="00E70292">
        <w:rPr>
          <w:color w:val="000000"/>
          <w:lang w:val="uk-UA"/>
        </w:rPr>
        <w:t>у думку</w:t>
      </w:r>
      <w:r w:rsidRPr="00E70292">
        <w:rPr>
          <w:color w:val="000000"/>
          <w:lang w:val="uk-UA"/>
        </w:rPr>
        <w:t xml:space="preserve">, за винятком впливу питання, про яке йдеться у параграфі </w:t>
      </w:r>
      <w:r w:rsidRPr="00E70292">
        <w:rPr>
          <w:lang w:val="uk-UA"/>
        </w:rPr>
        <w:t>«Підстава для висловлення умовно-позитивної думки», фінансова звітність</w:t>
      </w:r>
      <w:r w:rsidR="007C7FE1" w:rsidRPr="00E70292">
        <w:rPr>
          <w:lang w:val="uk-UA"/>
        </w:rPr>
        <w:t xml:space="preserve"> подає достовірно в усіх суттєвих аспектах</w:t>
      </w:r>
      <w:r w:rsidR="00C6111D" w:rsidRPr="00E70292">
        <w:rPr>
          <w:lang w:val="uk-UA"/>
        </w:rPr>
        <w:t xml:space="preserve"> відповідно до концептуальної основи спеціального призначення</w:t>
      </w:r>
      <w:r w:rsidR="007C7FE1" w:rsidRPr="00E70292">
        <w:rPr>
          <w:lang w:val="uk-UA"/>
        </w:rPr>
        <w:t xml:space="preserve"> фінансовий стан</w:t>
      </w:r>
      <w:r w:rsidRPr="00E70292">
        <w:rPr>
          <w:lang w:val="uk-UA"/>
        </w:rPr>
        <w:t xml:space="preserve"> Пр</w:t>
      </w:r>
      <w:r w:rsidR="007C7FE1" w:rsidRPr="00E70292">
        <w:rPr>
          <w:lang w:val="uk-UA"/>
        </w:rPr>
        <w:t>АТ</w:t>
      </w:r>
      <w:r w:rsidRPr="00E70292">
        <w:rPr>
          <w:lang w:val="uk-UA"/>
        </w:rPr>
        <w:t xml:space="preserve"> «</w:t>
      </w:r>
      <w:r w:rsidR="00A95782">
        <w:rPr>
          <w:lang w:val="uk-UA"/>
        </w:rPr>
        <w:t>Укртранс-Вінниця</w:t>
      </w:r>
      <w:r w:rsidRPr="00E70292">
        <w:rPr>
          <w:lang w:val="uk-UA"/>
        </w:rPr>
        <w:t>»</w:t>
      </w:r>
      <w:r w:rsidRPr="00E70292">
        <w:rPr>
          <w:b/>
          <w:color w:val="000000"/>
          <w:lang w:val="uk-UA"/>
        </w:rPr>
        <w:t xml:space="preserve"> </w:t>
      </w:r>
      <w:r w:rsidRPr="00E70292">
        <w:rPr>
          <w:color w:val="000000"/>
          <w:lang w:val="uk-UA"/>
        </w:rPr>
        <w:t>станом на 31.12.201</w:t>
      </w:r>
      <w:r w:rsidR="00D83A54" w:rsidRPr="00E70292">
        <w:rPr>
          <w:color w:val="000000"/>
          <w:lang w:val="uk-UA"/>
        </w:rPr>
        <w:t>6</w:t>
      </w:r>
      <w:r w:rsidR="0093539D" w:rsidRPr="00E70292">
        <w:rPr>
          <w:color w:val="000000"/>
          <w:lang w:val="uk-UA"/>
        </w:rPr>
        <w:t xml:space="preserve"> року</w:t>
      </w:r>
      <w:r w:rsidRPr="00E70292">
        <w:rPr>
          <w:color w:val="000000"/>
          <w:lang w:val="uk-UA"/>
        </w:rPr>
        <w:t xml:space="preserve"> </w:t>
      </w:r>
      <w:r w:rsidR="007C7FE1" w:rsidRPr="00E70292">
        <w:rPr>
          <w:color w:val="000000"/>
          <w:lang w:val="uk-UA"/>
        </w:rPr>
        <w:t>а також результати його діяльності за рік, що закінчився на зазначену</w:t>
      </w:r>
      <w:r w:rsidR="007C7FE1">
        <w:rPr>
          <w:color w:val="000000"/>
          <w:lang w:val="uk-UA"/>
        </w:rPr>
        <w:t xml:space="preserve"> дату, відповідно до Національних положень (стандартів) бухгалтерського обліку</w:t>
      </w:r>
      <w:r w:rsidR="00C6111D">
        <w:rPr>
          <w:color w:val="000000"/>
          <w:lang w:val="uk-UA"/>
        </w:rPr>
        <w:t>.</w:t>
      </w:r>
    </w:p>
    <w:p w:rsidR="009A705C" w:rsidRPr="00737738" w:rsidRDefault="009A705C" w:rsidP="009A705C">
      <w:pPr>
        <w:ind w:firstLine="426"/>
        <w:jc w:val="both"/>
        <w:rPr>
          <w:color w:val="000000"/>
          <w:lang w:val="uk-UA"/>
        </w:rPr>
      </w:pPr>
    </w:p>
    <w:p w:rsidR="009A705C" w:rsidRDefault="009A705C" w:rsidP="009A705C">
      <w:pPr>
        <w:pStyle w:val="Default"/>
        <w:jc w:val="center"/>
        <w:rPr>
          <w:b/>
          <w:i/>
          <w:color w:val="auto"/>
          <w:lang w:val="uk-UA"/>
        </w:rPr>
      </w:pPr>
      <w:r>
        <w:rPr>
          <w:b/>
          <w:i/>
          <w:snapToGrid w:val="0"/>
          <w:lang w:val="uk-UA"/>
        </w:rPr>
        <w:t xml:space="preserve"> 6</w:t>
      </w:r>
      <w:r w:rsidR="00092BDA">
        <w:rPr>
          <w:b/>
          <w:i/>
          <w:snapToGrid w:val="0"/>
          <w:lang w:val="uk-UA"/>
        </w:rPr>
        <w:t>.</w:t>
      </w:r>
      <w:r>
        <w:rPr>
          <w:b/>
          <w:i/>
          <w:snapToGrid w:val="0"/>
          <w:lang w:val="uk-UA"/>
        </w:rPr>
        <w:t xml:space="preserve"> </w:t>
      </w:r>
      <w:r w:rsidRPr="00EA6BD3">
        <w:rPr>
          <w:b/>
          <w:i/>
          <w:color w:val="auto"/>
          <w:lang w:val="uk-UA"/>
        </w:rPr>
        <w:t xml:space="preserve">Висловлення думки щодо відповідності показників </w:t>
      </w:r>
      <w:r>
        <w:rPr>
          <w:b/>
          <w:i/>
          <w:color w:val="auto"/>
          <w:lang w:val="uk-UA"/>
        </w:rPr>
        <w:t>фінансової звітності</w:t>
      </w:r>
      <w:r w:rsidR="00092BDA">
        <w:rPr>
          <w:b/>
          <w:i/>
          <w:color w:val="auto"/>
          <w:lang w:val="uk-UA"/>
        </w:rPr>
        <w:t>.</w:t>
      </w:r>
    </w:p>
    <w:p w:rsidR="009A705C" w:rsidRPr="00CD4B96" w:rsidRDefault="009A705C" w:rsidP="009A705C">
      <w:pPr>
        <w:pStyle w:val="Default"/>
        <w:jc w:val="center"/>
        <w:rPr>
          <w:b/>
          <w:i/>
          <w:color w:val="auto"/>
          <w:lang w:val="uk-UA"/>
        </w:rPr>
      </w:pPr>
    </w:p>
    <w:p w:rsidR="009A705C" w:rsidRPr="00CD4B96" w:rsidRDefault="009A705C" w:rsidP="009A705C">
      <w:pPr>
        <w:pStyle w:val="Default"/>
        <w:jc w:val="both"/>
        <w:rPr>
          <w:color w:val="auto"/>
          <w:lang w:val="uk-UA"/>
        </w:rPr>
      </w:pPr>
      <w:r w:rsidRPr="00CD4B96">
        <w:rPr>
          <w:color w:val="auto"/>
          <w:lang w:val="uk-UA"/>
        </w:rPr>
        <w:t xml:space="preserve">        Показники річної фінансової звітності Товариства відповідають даним обліку, за винятком питань, наведених у параграфі «Підстава для висловлення умовно-позитивної думки». Товариством забезпечена порівнянність показників балансу станом на 31.12.201</w:t>
      </w:r>
      <w:r w:rsidR="00D83A54" w:rsidRPr="00CD4B96">
        <w:rPr>
          <w:color w:val="auto"/>
          <w:lang w:val="uk-UA"/>
        </w:rPr>
        <w:t>6</w:t>
      </w:r>
      <w:r w:rsidRPr="00CD4B96">
        <w:rPr>
          <w:color w:val="auto"/>
          <w:lang w:val="uk-UA"/>
        </w:rPr>
        <w:t xml:space="preserve"> р. до річної фінансової звітності за 201</w:t>
      </w:r>
      <w:r w:rsidR="00D83A54" w:rsidRPr="00CD4B96">
        <w:rPr>
          <w:color w:val="auto"/>
          <w:lang w:val="uk-UA"/>
        </w:rPr>
        <w:t>6</w:t>
      </w:r>
      <w:r w:rsidRPr="00CD4B96">
        <w:rPr>
          <w:color w:val="auto"/>
          <w:lang w:val="uk-UA"/>
        </w:rPr>
        <w:t xml:space="preserve"> рік.</w:t>
      </w:r>
    </w:p>
    <w:p w:rsidR="009A705C" w:rsidRPr="00CD4B96" w:rsidRDefault="009A705C" w:rsidP="009A705C">
      <w:pPr>
        <w:pStyle w:val="Default"/>
        <w:jc w:val="both"/>
        <w:rPr>
          <w:color w:val="auto"/>
          <w:lang w:val="uk-UA"/>
        </w:rPr>
      </w:pPr>
    </w:p>
    <w:p w:rsidR="009A705C" w:rsidRPr="00CD4B96" w:rsidRDefault="009A705C" w:rsidP="009A705C">
      <w:pPr>
        <w:pStyle w:val="Default"/>
        <w:jc w:val="center"/>
        <w:rPr>
          <w:b/>
          <w:bCs/>
          <w:i/>
          <w:color w:val="auto"/>
          <w:lang w:val="uk-UA"/>
        </w:rPr>
      </w:pPr>
      <w:r w:rsidRPr="00CD4B96">
        <w:rPr>
          <w:b/>
          <w:i/>
          <w:snapToGrid w:val="0"/>
          <w:lang w:val="uk-UA"/>
        </w:rPr>
        <w:t xml:space="preserve"> 7</w:t>
      </w:r>
      <w:r w:rsidR="00092BDA">
        <w:rPr>
          <w:b/>
          <w:i/>
          <w:snapToGrid w:val="0"/>
          <w:lang w:val="uk-UA"/>
        </w:rPr>
        <w:t>.</w:t>
      </w:r>
      <w:r w:rsidRPr="00CD4B96">
        <w:rPr>
          <w:b/>
          <w:i/>
          <w:snapToGrid w:val="0"/>
          <w:lang w:val="uk-UA"/>
        </w:rPr>
        <w:t xml:space="preserve"> </w:t>
      </w:r>
      <w:r w:rsidRPr="00CD4B96">
        <w:rPr>
          <w:b/>
          <w:bCs/>
          <w:i/>
          <w:color w:val="auto"/>
          <w:lang w:val="uk-UA"/>
        </w:rPr>
        <w:t>Звіт щодо вимог інших законодавчих і нормативних актів</w:t>
      </w:r>
    </w:p>
    <w:p w:rsidR="009A705C" w:rsidRPr="00CD4B96" w:rsidRDefault="009A705C" w:rsidP="009A705C">
      <w:pPr>
        <w:pStyle w:val="Default"/>
        <w:jc w:val="both"/>
        <w:rPr>
          <w:color w:val="auto"/>
          <w:u w:val="single"/>
          <w:lang w:val="uk-UA"/>
        </w:rPr>
      </w:pPr>
    </w:p>
    <w:p w:rsidR="009A705C" w:rsidRPr="00397167" w:rsidRDefault="009A705C" w:rsidP="009A705C">
      <w:pPr>
        <w:pStyle w:val="Default"/>
        <w:ind w:firstLine="426"/>
        <w:jc w:val="both"/>
        <w:rPr>
          <w:color w:val="auto"/>
          <w:lang w:val="uk-UA"/>
        </w:rPr>
      </w:pPr>
      <w:r w:rsidRPr="00397167">
        <w:rPr>
          <w:color w:val="auto"/>
          <w:lang w:val="uk-UA"/>
        </w:rPr>
        <w:t>Ми розглянули питання, що стосуються виконання Товариством вимог інших законодавчих і нормативних актів, зокрема Цивільного кодексу України, Законів України «Про акціонерні товариства» від 17.09.2008 р. №514-</w:t>
      </w:r>
      <w:r w:rsidRPr="005D4339">
        <w:rPr>
          <w:color w:val="auto"/>
        </w:rPr>
        <w:t>VI</w:t>
      </w:r>
      <w:r w:rsidRPr="00397167">
        <w:rPr>
          <w:color w:val="auto"/>
          <w:lang w:val="uk-UA"/>
        </w:rPr>
        <w:t>, «Про цінні папери та фондовий ринок» від 23.02.2006 р. №3480-</w:t>
      </w:r>
      <w:r w:rsidRPr="005D4339">
        <w:rPr>
          <w:color w:val="auto"/>
        </w:rPr>
        <w:t>IV</w:t>
      </w:r>
      <w:r w:rsidRPr="00397167">
        <w:rPr>
          <w:color w:val="auto"/>
          <w:lang w:val="uk-UA"/>
        </w:rPr>
        <w:t xml:space="preserve">, рішень Національної комісія з цінних паперів та фондового ринку тощо. </w:t>
      </w:r>
    </w:p>
    <w:p w:rsidR="00BF4E7C" w:rsidRPr="00397167" w:rsidRDefault="009A705C" w:rsidP="00092BDA">
      <w:pPr>
        <w:pStyle w:val="Default"/>
        <w:ind w:firstLine="426"/>
        <w:jc w:val="both"/>
        <w:rPr>
          <w:color w:val="auto"/>
          <w:lang w:val="uk-UA"/>
        </w:rPr>
      </w:pPr>
      <w:r w:rsidRPr="00397167">
        <w:rPr>
          <w:color w:val="auto"/>
          <w:lang w:val="uk-UA"/>
        </w:rPr>
        <w:t>Крім того, згідно з МСА 720 «Відповідальність аудитора щодо іншої інформації в документах, що містять перевірену аудитором фінансову звітність» ми розглянули іншу інформацію, що включена до складу річної інформації емітентів цінних паперів, яка подається до Національної комісії з цінних паперів та фондового ринку відповідно до вимог  «Положення про розкриття інформації емітентами цінних паперів», затвердженого рішенням Державної комісії з цінних паперів та фондового ринку від 19 грудня 2006 р. №1591 та зареєстрованого в Міністерстві юстиції України 5 лютого 2007 р. за №97/</w:t>
      </w:r>
      <w:r w:rsidR="00BF4E7C">
        <w:rPr>
          <w:color w:val="auto"/>
          <w:lang w:val="uk-UA"/>
        </w:rPr>
        <w:t>13364.</w:t>
      </w:r>
    </w:p>
    <w:p w:rsidR="0034317A" w:rsidRDefault="009A705C" w:rsidP="00092BDA">
      <w:pPr>
        <w:pStyle w:val="Default"/>
        <w:ind w:firstLine="426"/>
        <w:jc w:val="both"/>
        <w:rPr>
          <w:color w:val="auto"/>
          <w:lang w:val="uk-UA"/>
        </w:rPr>
      </w:pPr>
      <w:r w:rsidRPr="00397167">
        <w:rPr>
          <w:color w:val="auto"/>
          <w:lang w:val="uk-UA"/>
        </w:rPr>
        <w:t xml:space="preserve">Відповідно до МСА 240 «Відповідальність аудитора, що стосується шахрайства, при аудиті фінансової звітності» ми виконали аудиторські процедури з метою ідентифікації та оцінки аудитором ризиків суттєвого викривлення фінансової звітності внаслідок шахрайства. </w:t>
      </w:r>
    </w:p>
    <w:p w:rsidR="00092BDA" w:rsidRDefault="00092BDA" w:rsidP="00092BDA">
      <w:pPr>
        <w:pStyle w:val="Default"/>
        <w:ind w:firstLine="426"/>
        <w:jc w:val="both"/>
        <w:rPr>
          <w:color w:val="auto"/>
          <w:lang w:val="uk-UA"/>
        </w:rPr>
      </w:pPr>
    </w:p>
    <w:p w:rsidR="009A705C" w:rsidRPr="006A2941" w:rsidRDefault="0034317A" w:rsidP="009A705C">
      <w:pPr>
        <w:pStyle w:val="Default"/>
        <w:jc w:val="both"/>
        <w:rPr>
          <w:color w:val="auto"/>
          <w:lang w:val="uk-UA"/>
        </w:rPr>
      </w:pPr>
      <w:r>
        <w:rPr>
          <w:color w:val="auto"/>
          <w:lang w:val="uk-UA"/>
        </w:rPr>
        <w:t xml:space="preserve">    </w:t>
      </w:r>
      <w:r w:rsidR="006A2941">
        <w:rPr>
          <w:color w:val="auto"/>
          <w:lang w:val="uk-UA"/>
        </w:rPr>
        <w:t xml:space="preserve">   </w:t>
      </w:r>
      <w:r w:rsidR="009A705C" w:rsidRPr="005D4339">
        <w:rPr>
          <w:color w:val="auto"/>
        </w:rPr>
        <w:t xml:space="preserve">У </w:t>
      </w:r>
      <w:r w:rsidR="009A705C" w:rsidRPr="006A2941">
        <w:rPr>
          <w:color w:val="auto"/>
          <w:lang w:val="uk-UA"/>
        </w:rPr>
        <w:t>параграфах, наведених нижче, ми висловлюємо свою думку з цих питань.</w:t>
      </w:r>
    </w:p>
    <w:p w:rsidR="009A705C" w:rsidRPr="006A2941" w:rsidRDefault="009A705C" w:rsidP="009A705C">
      <w:pPr>
        <w:jc w:val="both"/>
        <w:rPr>
          <w:lang w:val="uk-UA"/>
        </w:rPr>
      </w:pPr>
    </w:p>
    <w:p w:rsidR="009A705C" w:rsidRPr="006A2941" w:rsidRDefault="009A705C" w:rsidP="009A705C">
      <w:pPr>
        <w:jc w:val="center"/>
        <w:rPr>
          <w:b/>
          <w:i/>
          <w:sz w:val="16"/>
          <w:szCs w:val="16"/>
          <w:lang w:val="uk-UA"/>
        </w:rPr>
      </w:pPr>
      <w:r w:rsidRPr="006A2941">
        <w:rPr>
          <w:b/>
          <w:i/>
          <w:lang w:val="uk-UA"/>
        </w:rPr>
        <w:t>7.1 Підтвердження відповідності вартості чистих активів Приватного акціонерного товариства «</w:t>
      </w:r>
      <w:r w:rsidR="00A95782" w:rsidRPr="00A95782">
        <w:rPr>
          <w:b/>
          <w:i/>
          <w:lang w:val="uk-UA"/>
        </w:rPr>
        <w:t>Укртранс-Вінниця</w:t>
      </w:r>
      <w:r w:rsidRPr="006A2941">
        <w:rPr>
          <w:b/>
          <w:i/>
          <w:lang w:val="uk-UA"/>
        </w:rPr>
        <w:t>»   вимогам законодавства</w:t>
      </w:r>
    </w:p>
    <w:p w:rsidR="009A705C" w:rsidRDefault="009A705C" w:rsidP="009A705C">
      <w:pPr>
        <w:jc w:val="both"/>
        <w:rPr>
          <w:b/>
          <w:i/>
          <w:sz w:val="16"/>
          <w:szCs w:val="16"/>
          <w:lang w:val="uk-UA"/>
        </w:rPr>
      </w:pPr>
    </w:p>
    <w:p w:rsidR="009A705C" w:rsidRPr="00942EBE" w:rsidRDefault="009A705C" w:rsidP="009A705C">
      <w:pPr>
        <w:ind w:firstLine="426"/>
        <w:jc w:val="both"/>
        <w:rPr>
          <w:bCs/>
        </w:rPr>
      </w:pPr>
      <w:r w:rsidRPr="00942EBE">
        <w:rPr>
          <w:bCs/>
          <w:lang w:val="uk-UA"/>
        </w:rPr>
        <w:t>Станом на 31.12.201</w:t>
      </w:r>
      <w:r w:rsidR="00D83A54">
        <w:rPr>
          <w:bCs/>
          <w:lang w:val="uk-UA"/>
        </w:rPr>
        <w:t>6</w:t>
      </w:r>
      <w:r w:rsidRPr="00942EBE">
        <w:rPr>
          <w:bCs/>
          <w:lang w:val="uk-UA"/>
        </w:rPr>
        <w:t xml:space="preserve"> р. чисті активи </w:t>
      </w:r>
      <w:r w:rsidRPr="009E14BD">
        <w:rPr>
          <w:lang w:val="uk-UA"/>
        </w:rPr>
        <w:t>П</w:t>
      </w:r>
      <w:r w:rsidR="00E5406F">
        <w:rPr>
          <w:lang w:val="uk-UA"/>
        </w:rPr>
        <w:t>риват</w:t>
      </w:r>
      <w:r w:rsidRPr="009E14BD">
        <w:rPr>
          <w:lang w:val="uk-UA"/>
        </w:rPr>
        <w:t xml:space="preserve">ного акціонерного товариства </w:t>
      </w:r>
      <w:r>
        <w:rPr>
          <w:lang w:val="uk-UA"/>
        </w:rPr>
        <w:t>«</w:t>
      </w:r>
      <w:r w:rsidR="00A95782">
        <w:rPr>
          <w:lang w:val="uk-UA"/>
        </w:rPr>
        <w:t>Укртранс-Вінниця</w:t>
      </w:r>
      <w:r w:rsidRPr="00C909EC">
        <w:rPr>
          <w:lang w:val="uk-UA"/>
        </w:rPr>
        <w:t>»</w:t>
      </w:r>
      <w:r w:rsidRPr="00C909EC">
        <w:rPr>
          <w:bCs/>
          <w:lang w:val="uk-UA"/>
        </w:rPr>
        <w:t xml:space="preserve"> </w:t>
      </w:r>
      <w:r w:rsidRPr="00942EBE">
        <w:rPr>
          <w:bCs/>
          <w:lang w:val="uk-UA"/>
        </w:rPr>
        <w:t>складають:</w:t>
      </w:r>
    </w:p>
    <w:p w:rsidR="009A705C" w:rsidRDefault="009A705C" w:rsidP="009A705C">
      <w:pPr>
        <w:ind w:firstLine="708"/>
        <w:jc w:val="both"/>
        <w:rPr>
          <w:b/>
          <w:bCs/>
          <w:lang w:val="uk-UA"/>
        </w:rPr>
      </w:pPr>
    </w:p>
    <w:p w:rsidR="0084572B" w:rsidRDefault="0084572B" w:rsidP="009A705C">
      <w:pPr>
        <w:ind w:firstLine="708"/>
        <w:jc w:val="both"/>
        <w:rPr>
          <w:b/>
          <w:bCs/>
          <w:lang w:val="uk-UA"/>
        </w:rPr>
      </w:pPr>
    </w:p>
    <w:p w:rsidR="0084572B" w:rsidRPr="0084572B" w:rsidRDefault="0084572B" w:rsidP="009A705C">
      <w:pPr>
        <w:ind w:firstLine="708"/>
        <w:jc w:val="both"/>
        <w:rPr>
          <w:b/>
          <w:bCs/>
          <w:lang w:val="uk-UA"/>
        </w:rPr>
      </w:pPr>
    </w:p>
    <w:tbl>
      <w:tblPr>
        <w:tblW w:w="0" w:type="auto"/>
        <w:jc w:val="center"/>
        <w:tblLook w:val="01E0"/>
      </w:tblPr>
      <w:tblGrid>
        <w:gridCol w:w="1121"/>
        <w:gridCol w:w="4410"/>
        <w:gridCol w:w="3828"/>
      </w:tblGrid>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sidRPr="00B0309F">
              <w:rPr>
                <w:bCs/>
                <w:sz w:val="22"/>
                <w:szCs w:val="22"/>
                <w:lang w:val="uk-UA"/>
              </w:rPr>
              <w:t>Рядок</w:t>
            </w:r>
          </w:p>
        </w:tc>
        <w:tc>
          <w:tcPr>
            <w:tcW w:w="4410" w:type="dxa"/>
            <w:shd w:val="clear" w:color="auto" w:fill="auto"/>
          </w:tcPr>
          <w:p w:rsidR="009A705C" w:rsidRPr="00B0309F" w:rsidRDefault="009A705C" w:rsidP="000C4DFA">
            <w:pPr>
              <w:jc w:val="both"/>
              <w:rPr>
                <w:bCs/>
                <w:lang w:val="uk-UA"/>
              </w:rPr>
            </w:pPr>
          </w:p>
        </w:tc>
        <w:tc>
          <w:tcPr>
            <w:tcW w:w="3828" w:type="dxa"/>
            <w:shd w:val="clear" w:color="auto" w:fill="auto"/>
          </w:tcPr>
          <w:p w:rsidR="009A705C" w:rsidRPr="00B0309F" w:rsidRDefault="009A705C" w:rsidP="000C4DFA">
            <w:pPr>
              <w:jc w:val="right"/>
              <w:rPr>
                <w:bCs/>
                <w:lang w:val="uk-UA"/>
              </w:rPr>
            </w:pPr>
            <w:r w:rsidRPr="00B0309F">
              <w:rPr>
                <w:bCs/>
                <w:sz w:val="22"/>
                <w:szCs w:val="22"/>
                <w:lang w:val="uk-UA"/>
              </w:rPr>
              <w:t xml:space="preserve">Сума на кінець звітного періоду, </w:t>
            </w:r>
          </w:p>
          <w:p w:rsidR="009A705C" w:rsidRPr="00B0309F" w:rsidRDefault="009A705C" w:rsidP="000C4DFA">
            <w:pPr>
              <w:jc w:val="right"/>
              <w:rPr>
                <w:bCs/>
                <w:lang w:val="uk-UA"/>
              </w:rPr>
            </w:pPr>
            <w:r w:rsidRPr="00B0309F">
              <w:rPr>
                <w:bCs/>
                <w:sz w:val="22"/>
                <w:szCs w:val="22"/>
                <w:lang w:val="uk-UA"/>
              </w:rPr>
              <w:t>тис. грн..</w:t>
            </w: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sidRPr="00B0309F">
              <w:rPr>
                <w:bCs/>
                <w:sz w:val="22"/>
                <w:szCs w:val="22"/>
                <w:lang w:val="uk-UA"/>
              </w:rPr>
              <w:t>1.</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АКТИВИ</w:t>
            </w:r>
          </w:p>
        </w:tc>
        <w:tc>
          <w:tcPr>
            <w:tcW w:w="3828" w:type="dxa"/>
            <w:shd w:val="clear" w:color="auto" w:fill="auto"/>
          </w:tcPr>
          <w:p w:rsidR="009A705C" w:rsidRPr="00B0309F" w:rsidRDefault="009A705C" w:rsidP="000C4DFA">
            <w:pPr>
              <w:jc w:val="right"/>
              <w:rPr>
                <w:bCs/>
                <w:lang w:val="uk-UA"/>
              </w:rPr>
            </w:pP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sidRPr="00B0309F">
              <w:rPr>
                <w:bCs/>
                <w:sz w:val="22"/>
                <w:szCs w:val="22"/>
                <w:lang w:val="uk-UA"/>
              </w:rPr>
              <w:t>1.2</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Необоротні актив</w:t>
            </w:r>
          </w:p>
        </w:tc>
        <w:tc>
          <w:tcPr>
            <w:tcW w:w="3828" w:type="dxa"/>
            <w:shd w:val="clear" w:color="auto" w:fill="auto"/>
          </w:tcPr>
          <w:p w:rsidR="009A705C" w:rsidRPr="008D2E35" w:rsidRDefault="00CF2733" w:rsidP="00517E6C">
            <w:pPr>
              <w:jc w:val="center"/>
              <w:rPr>
                <w:bCs/>
                <w:lang w:val="uk-UA"/>
              </w:rPr>
            </w:pPr>
            <w:r>
              <w:rPr>
                <w:bCs/>
                <w:sz w:val="22"/>
                <w:szCs w:val="22"/>
                <w:lang w:val="uk-UA"/>
              </w:rPr>
              <w:t>438,0</w:t>
            </w: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sidRPr="00B0309F">
              <w:rPr>
                <w:bCs/>
                <w:sz w:val="22"/>
                <w:szCs w:val="22"/>
                <w:lang w:val="uk-UA"/>
              </w:rPr>
              <w:t>1.3</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Оборотні активи</w:t>
            </w:r>
          </w:p>
        </w:tc>
        <w:tc>
          <w:tcPr>
            <w:tcW w:w="3828" w:type="dxa"/>
            <w:shd w:val="clear" w:color="auto" w:fill="auto"/>
          </w:tcPr>
          <w:p w:rsidR="009A705C" w:rsidRPr="00B0309F" w:rsidRDefault="00CF2733" w:rsidP="00517E6C">
            <w:pPr>
              <w:jc w:val="center"/>
              <w:rPr>
                <w:bCs/>
                <w:lang w:val="uk-UA"/>
              </w:rPr>
            </w:pPr>
            <w:r>
              <w:rPr>
                <w:bCs/>
                <w:sz w:val="22"/>
                <w:szCs w:val="22"/>
                <w:lang w:val="uk-UA"/>
              </w:rPr>
              <w:t>209,0</w:t>
            </w: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Pr>
                <w:bCs/>
                <w:sz w:val="22"/>
                <w:szCs w:val="22"/>
                <w:lang w:val="uk-UA"/>
              </w:rPr>
              <w:t>1.4</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Необоротні активи та групи вибуття</w:t>
            </w:r>
          </w:p>
        </w:tc>
        <w:tc>
          <w:tcPr>
            <w:tcW w:w="3828" w:type="dxa"/>
            <w:shd w:val="clear" w:color="auto" w:fill="auto"/>
          </w:tcPr>
          <w:p w:rsidR="009A705C" w:rsidRPr="008D2E35" w:rsidRDefault="009A705C" w:rsidP="000C4DFA">
            <w:pPr>
              <w:jc w:val="center"/>
              <w:rPr>
                <w:bCs/>
                <w:lang w:val="uk-UA"/>
              </w:rPr>
            </w:pPr>
            <w:r w:rsidRPr="008D2E35">
              <w:rPr>
                <w:bCs/>
                <w:sz w:val="22"/>
                <w:szCs w:val="22"/>
                <w:lang w:val="uk-UA"/>
              </w:rPr>
              <w:t>-</w:t>
            </w: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Pr>
                <w:bCs/>
                <w:sz w:val="22"/>
                <w:szCs w:val="22"/>
                <w:lang w:val="uk-UA"/>
              </w:rPr>
              <w:t>1.5</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Усього актив</w:t>
            </w:r>
            <w:r>
              <w:rPr>
                <w:bCs/>
                <w:sz w:val="22"/>
                <w:szCs w:val="22"/>
                <w:lang w:val="uk-UA"/>
              </w:rPr>
              <w:t>и</w:t>
            </w:r>
          </w:p>
        </w:tc>
        <w:tc>
          <w:tcPr>
            <w:tcW w:w="3828" w:type="dxa"/>
            <w:shd w:val="clear" w:color="auto" w:fill="auto"/>
          </w:tcPr>
          <w:p w:rsidR="009A705C" w:rsidRPr="00B0309F" w:rsidRDefault="00CF2733" w:rsidP="00517E6C">
            <w:pPr>
              <w:jc w:val="center"/>
              <w:rPr>
                <w:bCs/>
                <w:lang w:val="uk-UA"/>
              </w:rPr>
            </w:pPr>
            <w:r>
              <w:rPr>
                <w:bCs/>
                <w:sz w:val="22"/>
                <w:szCs w:val="22"/>
                <w:lang w:val="uk-UA"/>
              </w:rPr>
              <w:t>647,0</w:t>
            </w: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sidRPr="00B0309F">
              <w:rPr>
                <w:bCs/>
                <w:sz w:val="22"/>
                <w:szCs w:val="22"/>
                <w:lang w:val="uk-UA"/>
              </w:rPr>
              <w:t>2.</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ЗОБОВ’ЯЗАННЯ</w:t>
            </w:r>
          </w:p>
        </w:tc>
        <w:tc>
          <w:tcPr>
            <w:tcW w:w="3828" w:type="dxa"/>
            <w:shd w:val="clear" w:color="auto" w:fill="auto"/>
          </w:tcPr>
          <w:p w:rsidR="009A705C" w:rsidRPr="00B0309F" w:rsidRDefault="009A705C" w:rsidP="000C4DFA">
            <w:pPr>
              <w:jc w:val="center"/>
              <w:rPr>
                <w:bCs/>
                <w:lang w:val="uk-UA"/>
              </w:rPr>
            </w:pP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sidRPr="00B0309F">
              <w:rPr>
                <w:bCs/>
                <w:sz w:val="22"/>
                <w:szCs w:val="22"/>
                <w:lang w:val="uk-UA"/>
              </w:rPr>
              <w:t>2.1</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 xml:space="preserve">Довгострокові зобов’язання </w:t>
            </w:r>
          </w:p>
        </w:tc>
        <w:tc>
          <w:tcPr>
            <w:tcW w:w="3828" w:type="dxa"/>
            <w:shd w:val="clear" w:color="auto" w:fill="auto"/>
          </w:tcPr>
          <w:p w:rsidR="009A705C" w:rsidRPr="00B0309F" w:rsidRDefault="00CF2733" w:rsidP="000B37AE">
            <w:pPr>
              <w:jc w:val="center"/>
              <w:rPr>
                <w:bCs/>
                <w:lang w:val="uk-UA"/>
              </w:rPr>
            </w:pPr>
            <w:r>
              <w:rPr>
                <w:bCs/>
                <w:lang w:val="uk-UA"/>
              </w:rPr>
              <w:t>-</w:t>
            </w: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sidRPr="00B0309F">
              <w:rPr>
                <w:bCs/>
                <w:sz w:val="22"/>
                <w:szCs w:val="22"/>
                <w:lang w:val="uk-UA"/>
              </w:rPr>
              <w:t>2.2</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Поточні зобов’язання</w:t>
            </w:r>
          </w:p>
        </w:tc>
        <w:tc>
          <w:tcPr>
            <w:tcW w:w="3828" w:type="dxa"/>
            <w:shd w:val="clear" w:color="auto" w:fill="auto"/>
          </w:tcPr>
          <w:p w:rsidR="009A705C" w:rsidRPr="00B0309F" w:rsidRDefault="00CF2733" w:rsidP="000B37AE">
            <w:pPr>
              <w:jc w:val="center"/>
              <w:rPr>
                <w:bCs/>
                <w:lang w:val="uk-UA"/>
              </w:rPr>
            </w:pPr>
            <w:r>
              <w:rPr>
                <w:bCs/>
                <w:sz w:val="22"/>
                <w:szCs w:val="22"/>
                <w:lang w:val="uk-UA"/>
              </w:rPr>
              <w:t>909,8</w:t>
            </w: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Pr>
                <w:bCs/>
                <w:sz w:val="22"/>
                <w:szCs w:val="22"/>
                <w:lang w:val="uk-UA"/>
              </w:rPr>
              <w:t>2.3</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Усього зобов’язань</w:t>
            </w:r>
          </w:p>
        </w:tc>
        <w:tc>
          <w:tcPr>
            <w:tcW w:w="3828" w:type="dxa"/>
            <w:shd w:val="clear" w:color="auto" w:fill="auto"/>
          </w:tcPr>
          <w:p w:rsidR="009A705C" w:rsidRDefault="00CF2733" w:rsidP="000C4DFA">
            <w:pPr>
              <w:jc w:val="center"/>
              <w:rPr>
                <w:bCs/>
                <w:lang w:val="uk-UA"/>
              </w:rPr>
            </w:pPr>
            <w:r>
              <w:rPr>
                <w:bCs/>
                <w:sz w:val="22"/>
                <w:szCs w:val="22"/>
                <w:lang w:val="uk-UA"/>
              </w:rPr>
              <w:t>909,8</w:t>
            </w:r>
          </w:p>
          <w:p w:rsidR="009A705C" w:rsidRPr="00B0309F" w:rsidRDefault="009A705C" w:rsidP="000C4DFA">
            <w:pPr>
              <w:rPr>
                <w:bCs/>
                <w:lang w:val="uk-UA"/>
              </w:rPr>
            </w:pP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sidRPr="00B0309F">
              <w:rPr>
                <w:bCs/>
                <w:sz w:val="22"/>
                <w:szCs w:val="22"/>
                <w:lang w:val="uk-UA"/>
              </w:rPr>
              <w:t>3.</w:t>
            </w:r>
          </w:p>
        </w:tc>
        <w:tc>
          <w:tcPr>
            <w:tcW w:w="4410" w:type="dxa"/>
            <w:shd w:val="clear" w:color="auto" w:fill="auto"/>
          </w:tcPr>
          <w:p w:rsidR="009A705C" w:rsidRPr="00B0309F" w:rsidRDefault="009A705C" w:rsidP="000C4DFA">
            <w:pPr>
              <w:jc w:val="both"/>
              <w:rPr>
                <w:bCs/>
                <w:lang w:val="uk-UA"/>
              </w:rPr>
            </w:pPr>
            <w:r>
              <w:rPr>
                <w:bCs/>
                <w:sz w:val="22"/>
                <w:szCs w:val="22"/>
                <w:lang w:val="uk-UA"/>
              </w:rPr>
              <w:t>ЧИСТІ АКТИВИ (рядок 1.5 – рядок 2.3</w:t>
            </w:r>
            <w:r w:rsidRPr="00B0309F">
              <w:rPr>
                <w:bCs/>
                <w:sz w:val="22"/>
                <w:szCs w:val="22"/>
                <w:lang w:val="uk-UA"/>
              </w:rPr>
              <w:t>)</w:t>
            </w:r>
          </w:p>
        </w:tc>
        <w:tc>
          <w:tcPr>
            <w:tcW w:w="3828" w:type="dxa"/>
            <w:shd w:val="clear" w:color="auto" w:fill="auto"/>
          </w:tcPr>
          <w:p w:rsidR="009A705C" w:rsidRPr="00B0309F" w:rsidRDefault="000B37AE" w:rsidP="00CF2733">
            <w:pPr>
              <w:jc w:val="center"/>
              <w:rPr>
                <w:bCs/>
                <w:lang w:val="uk-UA"/>
              </w:rPr>
            </w:pPr>
            <w:r>
              <w:rPr>
                <w:bCs/>
                <w:sz w:val="22"/>
                <w:szCs w:val="22"/>
                <w:lang w:val="uk-UA"/>
              </w:rPr>
              <w:t>-2</w:t>
            </w:r>
            <w:r w:rsidR="00CF2733">
              <w:rPr>
                <w:bCs/>
                <w:sz w:val="22"/>
                <w:szCs w:val="22"/>
                <w:lang w:val="uk-UA"/>
              </w:rPr>
              <w:t>62</w:t>
            </w:r>
            <w:r>
              <w:rPr>
                <w:bCs/>
                <w:sz w:val="22"/>
                <w:szCs w:val="22"/>
                <w:lang w:val="uk-UA"/>
              </w:rPr>
              <w:t>,8</w:t>
            </w:r>
          </w:p>
        </w:tc>
      </w:tr>
      <w:tr w:rsidR="009A705C" w:rsidRPr="00B0309F" w:rsidTr="000C4DFA">
        <w:trPr>
          <w:jc w:val="center"/>
        </w:trPr>
        <w:tc>
          <w:tcPr>
            <w:tcW w:w="1121" w:type="dxa"/>
            <w:shd w:val="clear" w:color="auto" w:fill="auto"/>
          </w:tcPr>
          <w:p w:rsidR="009A705C" w:rsidRPr="00B0309F" w:rsidRDefault="009A705C" w:rsidP="000C4DFA">
            <w:pPr>
              <w:jc w:val="center"/>
              <w:rPr>
                <w:bCs/>
                <w:lang w:val="uk-UA"/>
              </w:rPr>
            </w:pPr>
            <w:r w:rsidRPr="00B0309F">
              <w:rPr>
                <w:bCs/>
                <w:sz w:val="22"/>
                <w:szCs w:val="22"/>
                <w:lang w:val="uk-UA"/>
              </w:rPr>
              <w:t>4.</w:t>
            </w:r>
          </w:p>
        </w:tc>
        <w:tc>
          <w:tcPr>
            <w:tcW w:w="4410" w:type="dxa"/>
            <w:shd w:val="clear" w:color="auto" w:fill="auto"/>
          </w:tcPr>
          <w:p w:rsidR="009A705C" w:rsidRPr="00B0309F" w:rsidRDefault="009A705C" w:rsidP="000C4DFA">
            <w:pPr>
              <w:jc w:val="both"/>
              <w:rPr>
                <w:bCs/>
                <w:lang w:val="uk-UA"/>
              </w:rPr>
            </w:pPr>
            <w:r w:rsidRPr="00B0309F">
              <w:rPr>
                <w:bCs/>
                <w:sz w:val="22"/>
                <w:szCs w:val="22"/>
                <w:lang w:val="uk-UA"/>
              </w:rPr>
              <w:t>СТАТУТНИЙ КАПІТАЛ, у тому числі:</w:t>
            </w:r>
          </w:p>
        </w:tc>
        <w:tc>
          <w:tcPr>
            <w:tcW w:w="3828" w:type="dxa"/>
            <w:shd w:val="clear" w:color="auto" w:fill="auto"/>
          </w:tcPr>
          <w:p w:rsidR="009A705C" w:rsidRPr="00B0309F" w:rsidRDefault="00CF2733" w:rsidP="000C4DFA">
            <w:pPr>
              <w:jc w:val="center"/>
              <w:rPr>
                <w:bCs/>
                <w:lang w:val="uk-UA"/>
              </w:rPr>
            </w:pPr>
            <w:r>
              <w:rPr>
                <w:bCs/>
                <w:sz w:val="22"/>
                <w:szCs w:val="22"/>
                <w:lang w:val="uk-UA"/>
              </w:rPr>
              <w:t>175,0</w:t>
            </w:r>
          </w:p>
        </w:tc>
      </w:tr>
    </w:tbl>
    <w:p w:rsidR="009A705C" w:rsidRPr="00E366C6" w:rsidRDefault="009A705C" w:rsidP="00E366C6">
      <w:pPr>
        <w:jc w:val="both"/>
        <w:rPr>
          <w:b/>
          <w:bCs/>
          <w:lang w:val="en-US"/>
        </w:rPr>
      </w:pPr>
    </w:p>
    <w:p w:rsidR="00916434" w:rsidRPr="00E366C6" w:rsidRDefault="009A705C" w:rsidP="00E366C6">
      <w:pPr>
        <w:ind w:firstLine="426"/>
        <w:jc w:val="both"/>
        <w:rPr>
          <w:bCs/>
          <w:lang w:val="uk-UA"/>
        </w:rPr>
      </w:pPr>
      <w:r w:rsidRPr="00942EBE">
        <w:rPr>
          <w:bCs/>
          <w:lang w:val="uk-UA"/>
        </w:rPr>
        <w:t>Таким чином, станом на 31.12.201</w:t>
      </w:r>
      <w:r w:rsidR="00D83A54">
        <w:rPr>
          <w:bCs/>
          <w:lang w:val="uk-UA"/>
        </w:rPr>
        <w:t>6</w:t>
      </w:r>
      <w:r w:rsidR="00003ECE">
        <w:rPr>
          <w:bCs/>
          <w:lang w:val="uk-UA"/>
        </w:rPr>
        <w:t xml:space="preserve"> </w:t>
      </w:r>
      <w:r w:rsidRPr="00942EBE">
        <w:rPr>
          <w:bCs/>
          <w:lang w:val="uk-UA"/>
        </w:rPr>
        <w:t xml:space="preserve">р. чисті активи </w:t>
      </w:r>
      <w:r w:rsidRPr="006A2941">
        <w:rPr>
          <w:lang w:val="uk-UA"/>
        </w:rPr>
        <w:t>Приватного</w:t>
      </w:r>
      <w:r w:rsidRPr="006A2941">
        <w:t xml:space="preserve"> </w:t>
      </w:r>
      <w:r w:rsidRPr="009D0834">
        <w:rPr>
          <w:lang w:val="uk-UA"/>
        </w:rPr>
        <w:t>акціонерного товариства</w:t>
      </w:r>
      <w:r w:rsidRPr="006A2941">
        <w:t xml:space="preserve"> «</w:t>
      </w:r>
      <w:r w:rsidR="00A95782">
        <w:rPr>
          <w:lang w:val="uk-UA"/>
        </w:rPr>
        <w:t>Укртранс-Вінниця</w:t>
      </w:r>
      <w:r w:rsidRPr="006A2941">
        <w:rPr>
          <w:lang w:val="uk-UA"/>
        </w:rPr>
        <w:t>»</w:t>
      </w:r>
      <w:r w:rsidRPr="006A2941">
        <w:rPr>
          <w:color w:val="000000"/>
          <w:lang w:val="uk-UA"/>
        </w:rPr>
        <w:t xml:space="preserve"> </w:t>
      </w:r>
      <w:r w:rsidRPr="00942EBE">
        <w:rPr>
          <w:bCs/>
          <w:lang w:val="uk-UA"/>
        </w:rPr>
        <w:t xml:space="preserve"> </w:t>
      </w:r>
      <w:r w:rsidR="00003ECE">
        <w:rPr>
          <w:bCs/>
          <w:lang w:val="uk-UA"/>
        </w:rPr>
        <w:t>становлять</w:t>
      </w:r>
      <w:r w:rsidR="00E366C6">
        <w:rPr>
          <w:bCs/>
          <w:lang w:val="uk-UA"/>
        </w:rPr>
        <w:t xml:space="preserve"> від’ємне значення</w:t>
      </w:r>
      <w:r w:rsidR="000B37AE">
        <w:rPr>
          <w:bCs/>
          <w:lang w:val="uk-UA"/>
        </w:rPr>
        <w:t xml:space="preserve"> (-</w:t>
      </w:r>
      <w:r w:rsidR="00003ECE">
        <w:rPr>
          <w:bCs/>
          <w:lang w:val="uk-UA"/>
        </w:rPr>
        <w:t xml:space="preserve"> </w:t>
      </w:r>
      <w:r w:rsidR="00CF2733">
        <w:rPr>
          <w:bCs/>
          <w:lang w:val="uk-UA"/>
        </w:rPr>
        <w:t>262,8</w:t>
      </w:r>
      <w:r w:rsidR="00AE16A7">
        <w:rPr>
          <w:bCs/>
          <w:lang w:val="uk-UA"/>
        </w:rPr>
        <w:t xml:space="preserve"> тис. грн</w:t>
      </w:r>
      <w:r w:rsidR="0048625A" w:rsidRPr="0048625A">
        <w:rPr>
          <w:bCs/>
        </w:rPr>
        <w:t>)</w:t>
      </w:r>
      <w:r w:rsidR="00AE16A7">
        <w:rPr>
          <w:bCs/>
          <w:lang w:val="uk-UA"/>
        </w:rPr>
        <w:t>., що</w:t>
      </w:r>
      <w:r>
        <w:rPr>
          <w:bCs/>
          <w:lang w:val="uk-UA"/>
        </w:rPr>
        <w:t xml:space="preserve"> </w:t>
      </w:r>
      <w:r w:rsidR="000B37AE">
        <w:rPr>
          <w:bCs/>
          <w:lang w:val="uk-UA"/>
        </w:rPr>
        <w:t>мен</w:t>
      </w:r>
      <w:r w:rsidR="00C66AD7">
        <w:rPr>
          <w:bCs/>
          <w:lang w:val="uk-UA"/>
        </w:rPr>
        <w:t>ше</w:t>
      </w:r>
      <w:r w:rsidRPr="00942EBE">
        <w:rPr>
          <w:bCs/>
          <w:lang w:val="uk-UA"/>
        </w:rPr>
        <w:t xml:space="preserve"> розмір</w:t>
      </w:r>
      <w:r w:rsidR="00FE6E62">
        <w:rPr>
          <w:bCs/>
          <w:lang w:val="uk-UA"/>
        </w:rPr>
        <w:t>у</w:t>
      </w:r>
      <w:r w:rsidRPr="00942EBE">
        <w:rPr>
          <w:bCs/>
          <w:lang w:val="uk-UA"/>
        </w:rPr>
        <w:t xml:space="preserve"> статутного капіталу товариства, тобто </w:t>
      </w:r>
      <w:r w:rsidR="000B37AE">
        <w:rPr>
          <w:bCs/>
          <w:lang w:val="uk-UA"/>
        </w:rPr>
        <w:t xml:space="preserve">не </w:t>
      </w:r>
      <w:r w:rsidRPr="00942EBE">
        <w:rPr>
          <w:bCs/>
          <w:lang w:val="uk-UA"/>
        </w:rPr>
        <w:t xml:space="preserve">знаходяться </w:t>
      </w:r>
      <w:r>
        <w:rPr>
          <w:bCs/>
          <w:lang w:val="uk-UA"/>
        </w:rPr>
        <w:t>в межах діючого законодавства.</w:t>
      </w:r>
    </w:p>
    <w:p w:rsidR="009A705C" w:rsidRDefault="009A705C" w:rsidP="00FE6E62">
      <w:pPr>
        <w:ind w:firstLine="426"/>
        <w:jc w:val="both"/>
        <w:rPr>
          <w:snapToGrid w:val="0"/>
          <w:lang w:val="uk-UA"/>
        </w:rPr>
      </w:pPr>
      <w:r>
        <w:rPr>
          <w:snapToGrid w:val="0"/>
          <w:lang w:val="uk-UA"/>
        </w:rPr>
        <w:t xml:space="preserve">Вимоги частини 3 статті 155 Цивільного кодексу України </w:t>
      </w:r>
      <w:r w:rsidR="000B37AE">
        <w:rPr>
          <w:snapToGrid w:val="0"/>
          <w:lang w:val="uk-UA"/>
        </w:rPr>
        <w:t>не</w:t>
      </w:r>
      <w:r>
        <w:rPr>
          <w:snapToGrid w:val="0"/>
          <w:lang w:val="uk-UA"/>
        </w:rPr>
        <w:t xml:space="preserve">дотримані. </w:t>
      </w:r>
    </w:p>
    <w:p w:rsidR="00FE6E62" w:rsidRDefault="00FE6E62" w:rsidP="00FE6E62">
      <w:pPr>
        <w:ind w:firstLine="426"/>
        <w:jc w:val="both"/>
        <w:rPr>
          <w:snapToGrid w:val="0"/>
          <w:lang w:val="uk-UA"/>
        </w:rPr>
      </w:pPr>
    </w:p>
    <w:p w:rsidR="009A705C" w:rsidRPr="006A2941" w:rsidRDefault="009A705C" w:rsidP="009A705C">
      <w:pPr>
        <w:jc w:val="center"/>
        <w:rPr>
          <w:b/>
          <w:i/>
          <w:lang w:val="uk-UA"/>
        </w:rPr>
      </w:pPr>
      <w:r>
        <w:rPr>
          <w:b/>
          <w:i/>
          <w:snapToGrid w:val="0"/>
          <w:lang w:val="uk-UA"/>
        </w:rPr>
        <w:t xml:space="preserve">7.2 </w:t>
      </w:r>
      <w:r w:rsidRPr="002D687E">
        <w:rPr>
          <w:b/>
          <w:i/>
          <w:lang w:val="uk-UA"/>
        </w:rPr>
        <w:t xml:space="preserve">Розкриття інформації про дії, які відбулися протягом звітного року та можуть вплинути на фінансово-господарський стан емітента </w:t>
      </w:r>
      <w:r w:rsidRPr="00037B58">
        <w:rPr>
          <w:b/>
          <w:i/>
          <w:lang w:val="uk-UA"/>
        </w:rPr>
        <w:t>Приватного акціонерного товариства «</w:t>
      </w:r>
      <w:r w:rsidR="00A95782" w:rsidRPr="00A95782">
        <w:rPr>
          <w:b/>
          <w:i/>
          <w:lang w:val="uk-UA"/>
        </w:rPr>
        <w:t>Укртранс-Вінниця</w:t>
      </w:r>
      <w:r w:rsidRPr="00946140">
        <w:rPr>
          <w:b/>
          <w:i/>
          <w:lang w:val="uk-UA"/>
        </w:rPr>
        <w:t>»</w:t>
      </w:r>
      <w:r w:rsidRPr="002D687E">
        <w:rPr>
          <w:b/>
          <w:i/>
          <w:lang w:val="uk-UA"/>
        </w:rPr>
        <w:t xml:space="preserve"> та призвести до значної зміни вартості його цінних паперів, визначених частиною першою статті 41 Закону України „</w:t>
      </w:r>
      <w:r w:rsidR="001D05A4">
        <w:rPr>
          <w:b/>
          <w:i/>
          <w:lang w:val="uk-UA"/>
        </w:rPr>
        <w:t xml:space="preserve"> </w:t>
      </w:r>
      <w:r w:rsidRPr="002D687E">
        <w:rPr>
          <w:b/>
          <w:i/>
          <w:lang w:val="uk-UA"/>
        </w:rPr>
        <w:t xml:space="preserve">Про цінні папери та </w:t>
      </w:r>
      <w:r w:rsidRPr="006A2941">
        <w:rPr>
          <w:b/>
          <w:i/>
          <w:lang w:val="uk-UA"/>
        </w:rPr>
        <w:t>фондовий ринок</w:t>
      </w:r>
      <w:r w:rsidR="001D05A4">
        <w:rPr>
          <w:b/>
          <w:i/>
          <w:lang w:val="uk-UA"/>
        </w:rPr>
        <w:t xml:space="preserve"> </w:t>
      </w:r>
      <w:r w:rsidRPr="006A2941">
        <w:rPr>
          <w:b/>
          <w:i/>
          <w:lang w:val="uk-UA"/>
        </w:rPr>
        <w:t>”</w:t>
      </w:r>
      <w:r w:rsidR="0052187D">
        <w:rPr>
          <w:b/>
          <w:i/>
          <w:lang w:val="uk-UA"/>
        </w:rPr>
        <w:t>.</w:t>
      </w:r>
    </w:p>
    <w:p w:rsidR="009A705C" w:rsidRPr="006A2941" w:rsidRDefault="009A705C" w:rsidP="009A705C">
      <w:pPr>
        <w:jc w:val="center"/>
        <w:rPr>
          <w:b/>
          <w:i/>
          <w:lang w:val="uk-UA"/>
        </w:rPr>
      </w:pPr>
    </w:p>
    <w:p w:rsidR="003B02B4" w:rsidRPr="006A2941" w:rsidRDefault="009A705C" w:rsidP="00E366C6">
      <w:pPr>
        <w:ind w:firstLine="426"/>
        <w:jc w:val="both"/>
        <w:rPr>
          <w:b/>
          <w:i/>
          <w:snapToGrid w:val="0"/>
          <w:lang w:val="uk-UA"/>
        </w:rPr>
      </w:pPr>
      <w:r w:rsidRPr="006A2941">
        <w:rPr>
          <w:lang w:val="uk-UA"/>
        </w:rPr>
        <w:t>В ході перевірки було встановлено, що, протягом 201</w:t>
      </w:r>
      <w:r w:rsidR="00D83A54" w:rsidRPr="006A2941">
        <w:rPr>
          <w:lang w:val="uk-UA"/>
        </w:rPr>
        <w:t>6</w:t>
      </w:r>
      <w:r w:rsidRPr="006A2941">
        <w:rPr>
          <w:lang w:val="uk-UA"/>
        </w:rPr>
        <w:t xml:space="preserve"> року </w:t>
      </w:r>
      <w:r w:rsidR="00CF2733">
        <w:rPr>
          <w:lang w:val="uk-UA"/>
        </w:rPr>
        <w:t>не</w:t>
      </w:r>
      <w:r w:rsidR="00CF2733" w:rsidRPr="00CF2733">
        <w:rPr>
          <w:lang w:val="uk-UA"/>
        </w:rPr>
        <w:t xml:space="preserve"> </w:t>
      </w:r>
      <w:r w:rsidRPr="006A2941">
        <w:rPr>
          <w:lang w:val="uk-UA"/>
        </w:rPr>
        <w:t>відбулися дії, які можуть вплинути на фінансово-господарський стан емітента та призвести до значної зм</w:t>
      </w:r>
      <w:r w:rsidR="0014239B">
        <w:rPr>
          <w:lang w:val="uk-UA"/>
        </w:rPr>
        <w:t>іни вартості його цінних паперів</w:t>
      </w:r>
      <w:r w:rsidR="00CF2733">
        <w:rPr>
          <w:lang w:val="uk-UA"/>
        </w:rPr>
        <w:t>.</w:t>
      </w:r>
    </w:p>
    <w:p w:rsidR="00F3770B" w:rsidRPr="006A2941" w:rsidRDefault="009A705C" w:rsidP="00E366C6">
      <w:pPr>
        <w:widowControl w:val="0"/>
        <w:ind w:left="360" w:right="76"/>
        <w:jc w:val="center"/>
        <w:rPr>
          <w:b/>
          <w:i/>
          <w:snapToGrid w:val="0"/>
          <w:lang w:val="uk-UA"/>
        </w:rPr>
      </w:pPr>
      <w:r w:rsidRPr="006A2941">
        <w:rPr>
          <w:b/>
          <w:i/>
          <w:snapToGrid w:val="0"/>
          <w:lang w:val="uk-UA"/>
        </w:rPr>
        <w:t>7.3 Аналіз показників фінансового стан</w:t>
      </w:r>
      <w:r w:rsidR="00A70020">
        <w:rPr>
          <w:b/>
          <w:i/>
          <w:snapToGrid w:val="0"/>
          <w:lang w:val="uk-UA"/>
        </w:rPr>
        <w:t>у</w:t>
      </w:r>
      <w:r w:rsidR="0052187D">
        <w:rPr>
          <w:b/>
          <w:i/>
          <w:snapToGrid w:val="0"/>
          <w:lang w:val="uk-UA"/>
        </w:rPr>
        <w:t>.</w:t>
      </w:r>
    </w:p>
    <w:p w:rsidR="00916434" w:rsidRPr="002C3318" w:rsidRDefault="009A705C" w:rsidP="00E366C6">
      <w:pPr>
        <w:pStyle w:val="Default"/>
        <w:ind w:firstLine="426"/>
        <w:jc w:val="both"/>
        <w:rPr>
          <w:color w:val="auto"/>
          <w:lang w:val="uk-UA"/>
        </w:rPr>
      </w:pPr>
      <w:r w:rsidRPr="006A2941">
        <w:rPr>
          <w:color w:val="auto"/>
          <w:lang w:val="uk-UA"/>
        </w:rPr>
        <w:t>Фінансовий стан Товариства визначений відповідно до Положення №1528 за системою загальноприйнятих показників та нормативів згідно з правилами проведення фінансового аналізу на підставі даних балансу Товариства станом на 31.12.201</w:t>
      </w:r>
      <w:r w:rsidR="00441712" w:rsidRPr="006A2941">
        <w:rPr>
          <w:color w:val="auto"/>
          <w:lang w:val="uk-UA"/>
        </w:rPr>
        <w:t>6</w:t>
      </w:r>
      <w:r w:rsidRPr="006A2941">
        <w:rPr>
          <w:color w:val="auto"/>
          <w:lang w:val="uk-UA"/>
        </w:rPr>
        <w:t xml:space="preserve"> р. і звіту про фінансові результати за 201</w:t>
      </w:r>
      <w:r w:rsidR="00F3770B" w:rsidRPr="006A2941">
        <w:rPr>
          <w:color w:val="auto"/>
          <w:lang w:val="uk-UA"/>
        </w:rPr>
        <w:t>6</w:t>
      </w:r>
      <w:r w:rsidRPr="006A2941">
        <w:rPr>
          <w:color w:val="auto"/>
          <w:lang w:val="uk-UA"/>
        </w:rPr>
        <w:t xml:space="preserve"> рік з урахуванням коригувань, наведених у параграфі «Підстава для висловлення умовно-позитивної думки». </w:t>
      </w:r>
    </w:p>
    <w:p w:rsidR="00B7083F" w:rsidRPr="009D0834" w:rsidRDefault="00B7083F" w:rsidP="006A2941">
      <w:pPr>
        <w:widowControl w:val="0"/>
        <w:ind w:right="76"/>
        <w:rPr>
          <w:b/>
          <w:i/>
          <w:snapToGrid w:val="0"/>
          <w:lang w:val="uk-UA"/>
        </w:rPr>
      </w:pPr>
    </w:p>
    <w:tbl>
      <w:tblPr>
        <w:tblW w:w="9398" w:type="dxa"/>
        <w:tblInd w:w="152" w:type="dxa"/>
        <w:tblLayout w:type="fixed"/>
        <w:tblCellMar>
          <w:left w:w="0" w:type="dxa"/>
          <w:right w:w="0" w:type="dxa"/>
        </w:tblCellMar>
        <w:tblLook w:val="0000"/>
      </w:tblPr>
      <w:tblGrid>
        <w:gridCol w:w="398"/>
        <w:gridCol w:w="3855"/>
        <w:gridCol w:w="1559"/>
        <w:gridCol w:w="1843"/>
        <w:gridCol w:w="1743"/>
      </w:tblGrid>
      <w:tr w:rsidR="009A705C" w:rsidRPr="009D0834" w:rsidTr="005B7C54">
        <w:trPr>
          <w:trHeight w:val="539"/>
        </w:trPr>
        <w:tc>
          <w:tcPr>
            <w:tcW w:w="398" w:type="dxa"/>
            <w:tcBorders>
              <w:top w:val="single" w:sz="8" w:space="0" w:color="auto"/>
              <w:left w:val="single" w:sz="8" w:space="0" w:color="auto"/>
              <w:bottom w:val="single" w:sz="8" w:space="0" w:color="auto"/>
              <w:right w:val="single" w:sz="8"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w:t>
            </w:r>
          </w:p>
        </w:tc>
        <w:tc>
          <w:tcPr>
            <w:tcW w:w="3855" w:type="dxa"/>
            <w:tcBorders>
              <w:top w:val="single" w:sz="8" w:space="0" w:color="auto"/>
              <w:left w:val="nil"/>
              <w:bottom w:val="single" w:sz="8" w:space="0" w:color="auto"/>
              <w:right w:val="nil"/>
            </w:tcBorders>
            <w:shd w:val="clear" w:color="auto" w:fill="auto"/>
            <w:vAlign w:val="center"/>
          </w:tcPr>
          <w:p w:rsidR="009A705C" w:rsidRPr="009D0834" w:rsidRDefault="009A705C" w:rsidP="000C4DFA">
            <w:pPr>
              <w:pStyle w:val="7"/>
              <w:jc w:val="center"/>
              <w:rPr>
                <w:b/>
                <w:i/>
              </w:rPr>
            </w:pPr>
            <w:r w:rsidRPr="009D0834">
              <w:rPr>
                <w:b/>
                <w:i/>
                <w:sz w:val="22"/>
                <w:szCs w:val="22"/>
              </w:rPr>
              <w:t>Показники</w:t>
            </w:r>
          </w:p>
        </w:tc>
        <w:tc>
          <w:tcPr>
            <w:tcW w:w="1559" w:type="dxa"/>
            <w:tcBorders>
              <w:top w:val="single" w:sz="8" w:space="0" w:color="auto"/>
              <w:left w:val="single" w:sz="8" w:space="0" w:color="auto"/>
              <w:bottom w:val="single" w:sz="8" w:space="0" w:color="auto"/>
              <w:right w:val="single" w:sz="4"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Орієнтовне позитивне значення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B7C54" w:rsidRPr="006E39D8" w:rsidRDefault="009A705C" w:rsidP="00FE6E62">
            <w:pPr>
              <w:jc w:val="center"/>
              <w:rPr>
                <w:b/>
                <w:i/>
                <w:lang w:val="uk-UA"/>
              </w:rPr>
            </w:pPr>
            <w:r w:rsidRPr="006E39D8">
              <w:rPr>
                <w:b/>
                <w:i/>
                <w:sz w:val="22"/>
                <w:szCs w:val="22"/>
                <w:lang w:val="uk-UA"/>
              </w:rPr>
              <w:t xml:space="preserve">на </w:t>
            </w:r>
          </w:p>
          <w:p w:rsidR="009A705C" w:rsidRPr="006E39D8" w:rsidRDefault="009A705C" w:rsidP="00441712">
            <w:pPr>
              <w:jc w:val="center"/>
              <w:rPr>
                <w:b/>
                <w:i/>
                <w:lang w:val="uk-UA"/>
              </w:rPr>
            </w:pPr>
            <w:r w:rsidRPr="006E39D8">
              <w:rPr>
                <w:b/>
                <w:i/>
                <w:sz w:val="22"/>
                <w:szCs w:val="22"/>
                <w:lang w:val="uk-UA"/>
              </w:rPr>
              <w:t xml:space="preserve">    31.12.201</w:t>
            </w:r>
            <w:r w:rsidR="00441712" w:rsidRPr="006E39D8">
              <w:rPr>
                <w:b/>
                <w:i/>
                <w:sz w:val="22"/>
                <w:szCs w:val="22"/>
                <w:lang w:val="uk-UA"/>
              </w:rPr>
              <w:t>5</w:t>
            </w:r>
            <w:r w:rsidRPr="006E39D8">
              <w:rPr>
                <w:b/>
                <w:i/>
                <w:sz w:val="22"/>
                <w:szCs w:val="22"/>
                <w:lang w:val="uk-UA"/>
              </w:rPr>
              <w:t>р.</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9A705C" w:rsidRPr="006E39D8" w:rsidRDefault="009A705C" w:rsidP="000C4DFA">
            <w:pPr>
              <w:jc w:val="center"/>
              <w:rPr>
                <w:b/>
                <w:i/>
                <w:lang w:val="uk-UA"/>
              </w:rPr>
            </w:pPr>
            <w:r w:rsidRPr="006E39D8">
              <w:rPr>
                <w:b/>
                <w:i/>
                <w:sz w:val="22"/>
                <w:szCs w:val="22"/>
                <w:lang w:val="uk-UA"/>
              </w:rPr>
              <w:t xml:space="preserve">на    </w:t>
            </w:r>
          </w:p>
          <w:p w:rsidR="009A705C" w:rsidRPr="006E39D8" w:rsidRDefault="009A705C" w:rsidP="00441712">
            <w:pPr>
              <w:jc w:val="center"/>
              <w:rPr>
                <w:b/>
                <w:i/>
                <w:lang w:val="uk-UA"/>
              </w:rPr>
            </w:pPr>
            <w:r w:rsidRPr="006E39D8">
              <w:rPr>
                <w:b/>
                <w:i/>
                <w:sz w:val="22"/>
                <w:szCs w:val="22"/>
                <w:lang w:val="uk-UA"/>
              </w:rPr>
              <w:t>31.12.201</w:t>
            </w:r>
            <w:r w:rsidR="00441712" w:rsidRPr="006E39D8">
              <w:rPr>
                <w:b/>
                <w:i/>
                <w:sz w:val="22"/>
                <w:szCs w:val="22"/>
                <w:lang w:val="uk-UA"/>
              </w:rPr>
              <w:t xml:space="preserve">6 </w:t>
            </w:r>
            <w:r w:rsidRPr="006E39D8">
              <w:rPr>
                <w:b/>
                <w:i/>
                <w:sz w:val="22"/>
                <w:szCs w:val="22"/>
                <w:lang w:val="uk-UA"/>
              </w:rPr>
              <w:t>р.</w:t>
            </w:r>
          </w:p>
        </w:tc>
      </w:tr>
      <w:tr w:rsidR="009A705C" w:rsidRPr="001178A2" w:rsidTr="005B7C54">
        <w:trPr>
          <w:trHeight w:val="324"/>
        </w:trPr>
        <w:tc>
          <w:tcPr>
            <w:tcW w:w="398" w:type="dxa"/>
            <w:tcBorders>
              <w:top w:val="single" w:sz="8" w:space="0" w:color="auto"/>
              <w:left w:val="single" w:sz="8" w:space="0" w:color="auto"/>
              <w:bottom w:val="single" w:sz="4" w:space="0" w:color="auto"/>
              <w:right w:val="single" w:sz="8"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1</w:t>
            </w:r>
          </w:p>
        </w:tc>
        <w:tc>
          <w:tcPr>
            <w:tcW w:w="3855" w:type="dxa"/>
            <w:tcBorders>
              <w:top w:val="single" w:sz="8" w:space="0" w:color="auto"/>
              <w:left w:val="nil"/>
              <w:bottom w:val="single" w:sz="4" w:space="0" w:color="auto"/>
              <w:right w:val="nil"/>
            </w:tcBorders>
            <w:shd w:val="clear" w:color="auto" w:fill="auto"/>
            <w:vAlign w:val="center"/>
          </w:tcPr>
          <w:p w:rsidR="009A705C" w:rsidRPr="009D0834" w:rsidRDefault="009A705C" w:rsidP="000C4DFA">
            <w:pPr>
              <w:pStyle w:val="8"/>
              <w:spacing w:before="0" w:after="0"/>
              <w:rPr>
                <w:b/>
              </w:rPr>
            </w:pPr>
            <w:r w:rsidRPr="009D0834">
              <w:rPr>
                <w:b/>
                <w:iCs w:val="0"/>
                <w:sz w:val="22"/>
                <w:szCs w:val="22"/>
              </w:rPr>
              <w:t xml:space="preserve">  Коефіцієнт  абсолютної ліквідності</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0,25 - 0,5</w:t>
            </w:r>
          </w:p>
        </w:tc>
        <w:tc>
          <w:tcPr>
            <w:tcW w:w="1843" w:type="dxa"/>
            <w:tcBorders>
              <w:top w:val="single" w:sz="4" w:space="0" w:color="auto"/>
              <w:left w:val="single" w:sz="4" w:space="0" w:color="auto"/>
              <w:bottom w:val="single" w:sz="4" w:space="0" w:color="auto"/>
              <w:right w:val="single" w:sz="4" w:space="0" w:color="auto"/>
            </w:tcBorders>
            <w:vAlign w:val="center"/>
          </w:tcPr>
          <w:p w:rsidR="009A705C" w:rsidRPr="005C42BF" w:rsidRDefault="00093B69" w:rsidP="00CF2733">
            <w:pPr>
              <w:jc w:val="center"/>
              <w:rPr>
                <w:b/>
                <w:i/>
                <w:lang w:val="en-US"/>
              </w:rPr>
            </w:pPr>
            <w:r>
              <w:rPr>
                <w:b/>
                <w:i/>
                <w:sz w:val="22"/>
                <w:szCs w:val="22"/>
                <w:lang w:val="uk-UA"/>
              </w:rPr>
              <w:t>0,0</w:t>
            </w:r>
            <w:r w:rsidR="00CF2733">
              <w:rPr>
                <w:b/>
                <w:i/>
                <w:sz w:val="22"/>
                <w:szCs w:val="22"/>
                <w:lang w:val="uk-UA"/>
              </w:rPr>
              <w:t>4</w:t>
            </w:r>
          </w:p>
        </w:tc>
        <w:tc>
          <w:tcPr>
            <w:tcW w:w="1743" w:type="dxa"/>
            <w:tcBorders>
              <w:top w:val="single" w:sz="4" w:space="0" w:color="auto"/>
              <w:left w:val="single" w:sz="4" w:space="0" w:color="auto"/>
              <w:bottom w:val="single" w:sz="4" w:space="0" w:color="auto"/>
              <w:right w:val="single" w:sz="4" w:space="0" w:color="auto"/>
            </w:tcBorders>
            <w:vAlign w:val="center"/>
          </w:tcPr>
          <w:p w:rsidR="009A705C" w:rsidRPr="00093B69" w:rsidRDefault="00093B69" w:rsidP="00CF2733">
            <w:pPr>
              <w:jc w:val="center"/>
              <w:rPr>
                <w:b/>
                <w:i/>
                <w:lang w:val="uk-UA"/>
              </w:rPr>
            </w:pPr>
            <w:r>
              <w:rPr>
                <w:b/>
                <w:i/>
                <w:sz w:val="22"/>
                <w:szCs w:val="22"/>
                <w:lang w:val="uk-UA"/>
              </w:rPr>
              <w:t>0,0</w:t>
            </w:r>
            <w:r w:rsidR="00CF2733">
              <w:rPr>
                <w:b/>
                <w:i/>
                <w:sz w:val="22"/>
                <w:szCs w:val="22"/>
                <w:lang w:val="uk-UA"/>
              </w:rPr>
              <w:t>7</w:t>
            </w:r>
          </w:p>
        </w:tc>
      </w:tr>
      <w:tr w:rsidR="009A705C" w:rsidRPr="001178A2" w:rsidTr="005B7C54">
        <w:trPr>
          <w:trHeight w:val="281"/>
        </w:trPr>
        <w:tc>
          <w:tcPr>
            <w:tcW w:w="398" w:type="dxa"/>
            <w:tcBorders>
              <w:top w:val="single" w:sz="4" w:space="0" w:color="auto"/>
              <w:left w:val="single" w:sz="8" w:space="0" w:color="auto"/>
              <w:bottom w:val="single" w:sz="4" w:space="0" w:color="auto"/>
              <w:right w:val="single" w:sz="8"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2</w:t>
            </w:r>
          </w:p>
        </w:tc>
        <w:tc>
          <w:tcPr>
            <w:tcW w:w="3855" w:type="dxa"/>
            <w:tcBorders>
              <w:top w:val="single" w:sz="4" w:space="0" w:color="auto"/>
              <w:left w:val="nil"/>
              <w:bottom w:val="single" w:sz="4" w:space="0" w:color="auto"/>
              <w:right w:val="nil"/>
            </w:tcBorders>
            <w:shd w:val="clear" w:color="auto" w:fill="auto"/>
            <w:vAlign w:val="center"/>
          </w:tcPr>
          <w:p w:rsidR="009A705C" w:rsidRPr="009D0834" w:rsidRDefault="009A705C" w:rsidP="000C4DFA">
            <w:pPr>
              <w:ind w:left="142" w:right="24"/>
              <w:rPr>
                <w:b/>
                <w:i/>
                <w:lang w:val="uk-UA"/>
              </w:rPr>
            </w:pPr>
            <w:r w:rsidRPr="009D0834">
              <w:rPr>
                <w:b/>
                <w:i/>
                <w:sz w:val="22"/>
                <w:szCs w:val="22"/>
                <w:lang w:val="uk-UA"/>
              </w:rPr>
              <w:t>Коефіцієнт загальної ліквідності</w:t>
            </w: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1,0 - 2,0</w:t>
            </w:r>
          </w:p>
        </w:tc>
        <w:tc>
          <w:tcPr>
            <w:tcW w:w="1843" w:type="dxa"/>
            <w:tcBorders>
              <w:top w:val="single" w:sz="4" w:space="0" w:color="auto"/>
              <w:left w:val="single" w:sz="4" w:space="0" w:color="auto"/>
              <w:bottom w:val="single" w:sz="4" w:space="0" w:color="auto"/>
              <w:right w:val="single" w:sz="4" w:space="0" w:color="auto"/>
            </w:tcBorders>
            <w:vAlign w:val="center"/>
          </w:tcPr>
          <w:p w:rsidR="009A705C" w:rsidRPr="009D0834" w:rsidRDefault="00093B69" w:rsidP="00CF2733">
            <w:pPr>
              <w:jc w:val="center"/>
              <w:rPr>
                <w:b/>
                <w:i/>
                <w:lang w:val="uk-UA"/>
              </w:rPr>
            </w:pPr>
            <w:r>
              <w:rPr>
                <w:b/>
                <w:i/>
                <w:sz w:val="22"/>
                <w:szCs w:val="22"/>
                <w:lang w:val="uk-UA"/>
              </w:rPr>
              <w:t>0,</w:t>
            </w:r>
            <w:r w:rsidR="00CF2733">
              <w:rPr>
                <w:b/>
                <w:i/>
                <w:sz w:val="22"/>
                <w:szCs w:val="22"/>
                <w:lang w:val="uk-UA"/>
              </w:rPr>
              <w:t>25</w:t>
            </w:r>
          </w:p>
        </w:tc>
        <w:tc>
          <w:tcPr>
            <w:tcW w:w="1743" w:type="dxa"/>
            <w:tcBorders>
              <w:top w:val="single" w:sz="4" w:space="0" w:color="auto"/>
              <w:left w:val="single" w:sz="4" w:space="0" w:color="auto"/>
              <w:bottom w:val="single" w:sz="4" w:space="0" w:color="auto"/>
              <w:right w:val="single" w:sz="4" w:space="0" w:color="auto"/>
            </w:tcBorders>
            <w:vAlign w:val="center"/>
          </w:tcPr>
          <w:p w:rsidR="009A705C" w:rsidRPr="00760176" w:rsidRDefault="00093B69" w:rsidP="00CF2733">
            <w:pPr>
              <w:jc w:val="center"/>
              <w:rPr>
                <w:b/>
                <w:i/>
                <w:lang w:val="en-US"/>
              </w:rPr>
            </w:pPr>
            <w:r>
              <w:rPr>
                <w:b/>
                <w:i/>
                <w:sz w:val="22"/>
                <w:szCs w:val="22"/>
                <w:lang w:val="uk-UA"/>
              </w:rPr>
              <w:t>0,</w:t>
            </w:r>
            <w:r w:rsidR="00CF2733">
              <w:rPr>
                <w:b/>
                <w:i/>
                <w:sz w:val="22"/>
                <w:szCs w:val="22"/>
                <w:lang w:val="uk-UA"/>
              </w:rPr>
              <w:t>23</w:t>
            </w:r>
          </w:p>
        </w:tc>
      </w:tr>
      <w:tr w:rsidR="009A705C" w:rsidRPr="001178A2" w:rsidTr="005B7C54">
        <w:trPr>
          <w:trHeight w:val="272"/>
        </w:trPr>
        <w:tc>
          <w:tcPr>
            <w:tcW w:w="398" w:type="dxa"/>
            <w:tcBorders>
              <w:top w:val="single" w:sz="4" w:space="0" w:color="auto"/>
              <w:left w:val="single" w:sz="8" w:space="0" w:color="auto"/>
              <w:bottom w:val="single" w:sz="4" w:space="0" w:color="auto"/>
              <w:right w:val="single" w:sz="8"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3</w:t>
            </w:r>
          </w:p>
        </w:tc>
        <w:tc>
          <w:tcPr>
            <w:tcW w:w="3855" w:type="dxa"/>
            <w:tcBorders>
              <w:top w:val="single" w:sz="4" w:space="0" w:color="auto"/>
              <w:left w:val="nil"/>
              <w:bottom w:val="single" w:sz="4" w:space="0" w:color="auto"/>
              <w:right w:val="nil"/>
            </w:tcBorders>
            <w:shd w:val="clear" w:color="auto" w:fill="auto"/>
            <w:vAlign w:val="center"/>
          </w:tcPr>
          <w:p w:rsidR="009A705C" w:rsidRPr="009D0834" w:rsidRDefault="009A705C" w:rsidP="000C4DFA">
            <w:pPr>
              <w:ind w:left="142" w:right="24"/>
              <w:rPr>
                <w:b/>
                <w:i/>
                <w:lang w:val="uk-UA"/>
              </w:rPr>
            </w:pPr>
            <w:r w:rsidRPr="009D0834">
              <w:rPr>
                <w:b/>
                <w:i/>
                <w:sz w:val="22"/>
                <w:szCs w:val="22"/>
                <w:lang w:val="uk-UA"/>
              </w:rPr>
              <w:t xml:space="preserve">Коефіцієнт фінансової стійкості </w:t>
            </w: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0,25 - 0,5</w:t>
            </w:r>
          </w:p>
        </w:tc>
        <w:tc>
          <w:tcPr>
            <w:tcW w:w="1843" w:type="dxa"/>
            <w:tcBorders>
              <w:top w:val="single" w:sz="4" w:space="0" w:color="auto"/>
              <w:left w:val="single" w:sz="4" w:space="0" w:color="auto"/>
              <w:bottom w:val="single" w:sz="4" w:space="0" w:color="auto"/>
              <w:right w:val="single" w:sz="4" w:space="0" w:color="auto"/>
            </w:tcBorders>
            <w:vAlign w:val="center"/>
          </w:tcPr>
          <w:p w:rsidR="009A705C" w:rsidRPr="00760176" w:rsidRDefault="00093B69" w:rsidP="001178A2">
            <w:pPr>
              <w:jc w:val="center"/>
              <w:rPr>
                <w:b/>
                <w:i/>
                <w:lang w:val="en-US"/>
              </w:rPr>
            </w:pPr>
            <w:r>
              <w:rPr>
                <w:b/>
                <w:i/>
                <w:sz w:val="22"/>
                <w:szCs w:val="22"/>
                <w:lang w:val="uk-UA"/>
              </w:rPr>
              <w:t>не розраховується</w:t>
            </w:r>
          </w:p>
        </w:tc>
        <w:tc>
          <w:tcPr>
            <w:tcW w:w="1743" w:type="dxa"/>
            <w:tcBorders>
              <w:top w:val="single" w:sz="4" w:space="0" w:color="auto"/>
              <w:left w:val="single" w:sz="4" w:space="0" w:color="auto"/>
              <w:bottom w:val="single" w:sz="4" w:space="0" w:color="auto"/>
              <w:right w:val="single" w:sz="4" w:space="0" w:color="auto"/>
            </w:tcBorders>
            <w:vAlign w:val="center"/>
          </w:tcPr>
          <w:p w:rsidR="009A705C" w:rsidRPr="00760176" w:rsidRDefault="00093B69" w:rsidP="001178A2">
            <w:pPr>
              <w:jc w:val="center"/>
              <w:rPr>
                <w:b/>
                <w:i/>
                <w:lang w:val="en-US"/>
              </w:rPr>
            </w:pPr>
            <w:r>
              <w:rPr>
                <w:b/>
                <w:i/>
                <w:sz w:val="22"/>
                <w:szCs w:val="22"/>
                <w:lang w:val="uk-UA"/>
              </w:rPr>
              <w:t>не розраховується</w:t>
            </w:r>
          </w:p>
        </w:tc>
      </w:tr>
      <w:tr w:rsidR="009A705C" w:rsidRPr="009D0834" w:rsidTr="005B7C54">
        <w:trPr>
          <w:trHeight w:val="262"/>
        </w:trPr>
        <w:tc>
          <w:tcPr>
            <w:tcW w:w="398" w:type="dxa"/>
            <w:tcBorders>
              <w:top w:val="single" w:sz="4" w:space="0" w:color="auto"/>
              <w:left w:val="single" w:sz="8" w:space="0" w:color="auto"/>
              <w:bottom w:val="single" w:sz="8" w:space="0" w:color="auto"/>
              <w:right w:val="single" w:sz="8"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4</w:t>
            </w:r>
          </w:p>
        </w:tc>
        <w:tc>
          <w:tcPr>
            <w:tcW w:w="3855" w:type="dxa"/>
            <w:tcBorders>
              <w:top w:val="single" w:sz="4" w:space="0" w:color="auto"/>
              <w:left w:val="nil"/>
              <w:bottom w:val="single" w:sz="8" w:space="0" w:color="auto"/>
              <w:right w:val="nil"/>
            </w:tcBorders>
            <w:shd w:val="clear" w:color="auto" w:fill="auto"/>
            <w:vAlign w:val="center"/>
          </w:tcPr>
          <w:p w:rsidR="009A705C" w:rsidRPr="009D0834" w:rsidRDefault="009A705C" w:rsidP="000C4DFA">
            <w:pPr>
              <w:ind w:left="142" w:right="24"/>
              <w:rPr>
                <w:b/>
                <w:i/>
                <w:lang w:val="uk-UA"/>
              </w:rPr>
            </w:pPr>
            <w:r w:rsidRPr="009D0834">
              <w:rPr>
                <w:b/>
                <w:i/>
                <w:sz w:val="22"/>
                <w:szCs w:val="22"/>
                <w:lang w:val="uk-UA"/>
              </w:rPr>
              <w:t xml:space="preserve">Коефіцієнт покриття зобов`язань </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rsidR="009A705C" w:rsidRPr="009D0834" w:rsidRDefault="009A705C" w:rsidP="000C4DFA">
            <w:pPr>
              <w:jc w:val="center"/>
              <w:rPr>
                <w:b/>
                <w:i/>
                <w:lang w:val="uk-UA"/>
              </w:rPr>
            </w:pPr>
            <w:r w:rsidRPr="009D0834">
              <w:rPr>
                <w:b/>
                <w:i/>
                <w:sz w:val="22"/>
                <w:szCs w:val="22"/>
                <w:lang w:val="uk-UA"/>
              </w:rPr>
              <w:t>0,5 - 1,0</w:t>
            </w:r>
          </w:p>
        </w:tc>
        <w:tc>
          <w:tcPr>
            <w:tcW w:w="1843" w:type="dxa"/>
            <w:tcBorders>
              <w:top w:val="single" w:sz="4" w:space="0" w:color="auto"/>
              <w:left w:val="single" w:sz="4" w:space="0" w:color="auto"/>
              <w:bottom w:val="single" w:sz="4" w:space="0" w:color="auto"/>
              <w:right w:val="single" w:sz="4" w:space="0" w:color="auto"/>
            </w:tcBorders>
            <w:vAlign w:val="center"/>
          </w:tcPr>
          <w:p w:rsidR="009A705C" w:rsidRPr="009D0834" w:rsidRDefault="00093B69" w:rsidP="001178A2">
            <w:pPr>
              <w:jc w:val="center"/>
              <w:rPr>
                <w:b/>
                <w:i/>
                <w:lang w:val="uk-UA"/>
              </w:rPr>
            </w:pPr>
            <w:r>
              <w:rPr>
                <w:b/>
                <w:i/>
                <w:sz w:val="22"/>
                <w:szCs w:val="22"/>
                <w:lang w:val="uk-UA"/>
              </w:rPr>
              <w:t>не розраховується</w:t>
            </w:r>
          </w:p>
        </w:tc>
        <w:tc>
          <w:tcPr>
            <w:tcW w:w="1743" w:type="dxa"/>
            <w:tcBorders>
              <w:top w:val="single" w:sz="4" w:space="0" w:color="auto"/>
              <w:left w:val="single" w:sz="4" w:space="0" w:color="auto"/>
              <w:bottom w:val="single" w:sz="4" w:space="0" w:color="auto"/>
              <w:right w:val="single" w:sz="4" w:space="0" w:color="auto"/>
            </w:tcBorders>
            <w:vAlign w:val="center"/>
          </w:tcPr>
          <w:p w:rsidR="009A705C" w:rsidRPr="009D0834" w:rsidRDefault="00093B69" w:rsidP="00C2780E">
            <w:pPr>
              <w:jc w:val="center"/>
              <w:rPr>
                <w:b/>
                <w:i/>
                <w:lang w:val="uk-UA"/>
              </w:rPr>
            </w:pPr>
            <w:r>
              <w:rPr>
                <w:b/>
                <w:i/>
                <w:sz w:val="22"/>
                <w:szCs w:val="22"/>
                <w:lang w:val="uk-UA"/>
              </w:rPr>
              <w:t>не розраховується</w:t>
            </w:r>
          </w:p>
        </w:tc>
      </w:tr>
    </w:tbl>
    <w:p w:rsidR="005B750E" w:rsidRPr="00F3770B" w:rsidRDefault="005B750E" w:rsidP="00D13380">
      <w:pPr>
        <w:widowControl w:val="0"/>
        <w:jc w:val="both"/>
        <w:rPr>
          <w:i/>
          <w:color w:val="FF0000"/>
          <w:lang w:val="uk-UA"/>
        </w:rPr>
      </w:pPr>
    </w:p>
    <w:p w:rsidR="00093B69" w:rsidRPr="00D31360" w:rsidRDefault="00093B69" w:rsidP="00093B69">
      <w:pPr>
        <w:widowControl w:val="0"/>
        <w:ind w:firstLine="426"/>
        <w:jc w:val="both"/>
        <w:rPr>
          <w:color w:val="000000" w:themeColor="text1"/>
          <w:lang w:val="uk-UA"/>
        </w:rPr>
      </w:pPr>
      <w:r w:rsidRPr="00562517">
        <w:rPr>
          <w:color w:val="000000" w:themeColor="text1"/>
          <w:lang w:val="uk-UA"/>
        </w:rPr>
        <w:t xml:space="preserve">Коефіцієнт абсолютної ліквідності характеризує негайну готовність </w:t>
      </w:r>
      <w:r>
        <w:rPr>
          <w:color w:val="000000" w:themeColor="text1"/>
          <w:lang w:val="uk-UA"/>
        </w:rPr>
        <w:t>Т</w:t>
      </w:r>
      <w:r w:rsidRPr="00562517">
        <w:rPr>
          <w:color w:val="000000" w:themeColor="text1"/>
          <w:lang w:val="uk-UA"/>
        </w:rPr>
        <w:t xml:space="preserve">овариства </w:t>
      </w:r>
      <w:r>
        <w:rPr>
          <w:color w:val="000000" w:themeColor="text1"/>
          <w:lang w:val="uk-UA"/>
        </w:rPr>
        <w:t>погашати</w:t>
      </w:r>
      <w:r w:rsidRPr="00562517">
        <w:rPr>
          <w:color w:val="000000" w:themeColor="text1"/>
          <w:lang w:val="uk-UA"/>
        </w:rPr>
        <w:t xml:space="preserve"> поточні зобов'язання і визначається як відношення суми грошових коштів товариства та їх еквівалентів і поточних фінансових інвестицій до суми поточних зобов'язань</w:t>
      </w:r>
      <w:r w:rsidR="000C5834">
        <w:rPr>
          <w:color w:val="000000" w:themeColor="text1"/>
          <w:lang w:val="uk-UA"/>
        </w:rPr>
        <w:t>. Н</w:t>
      </w:r>
      <w:r>
        <w:rPr>
          <w:color w:val="000000" w:themeColor="text1"/>
          <w:lang w:val="uk-UA"/>
        </w:rPr>
        <w:t>а</w:t>
      </w:r>
      <w:r w:rsidRPr="00D31360">
        <w:rPr>
          <w:color w:val="000000" w:themeColor="text1"/>
          <w:lang w:val="uk-UA"/>
        </w:rPr>
        <w:t xml:space="preserve">  </w:t>
      </w:r>
      <w:r w:rsidR="000C5834">
        <w:rPr>
          <w:color w:val="000000" w:themeColor="text1"/>
          <w:lang w:val="uk-UA"/>
        </w:rPr>
        <w:t>початок і на кінець звітного періоду</w:t>
      </w:r>
      <w:r w:rsidRPr="00D31360">
        <w:rPr>
          <w:color w:val="000000" w:themeColor="text1"/>
          <w:lang w:val="uk-UA"/>
        </w:rPr>
        <w:t xml:space="preserve"> </w:t>
      </w:r>
      <w:r>
        <w:rPr>
          <w:color w:val="000000" w:themeColor="text1"/>
          <w:lang w:val="uk-UA"/>
        </w:rPr>
        <w:t xml:space="preserve">коефіцієнт </w:t>
      </w:r>
      <w:r w:rsidRPr="00D31360">
        <w:rPr>
          <w:color w:val="000000" w:themeColor="text1"/>
          <w:lang w:val="uk-UA"/>
        </w:rPr>
        <w:t>знаходи</w:t>
      </w:r>
      <w:r w:rsidR="000C5834">
        <w:rPr>
          <w:color w:val="000000" w:themeColor="text1"/>
          <w:lang w:val="uk-UA"/>
        </w:rPr>
        <w:t>ть</w:t>
      </w:r>
      <w:r w:rsidRPr="00D31360">
        <w:rPr>
          <w:color w:val="000000" w:themeColor="text1"/>
          <w:lang w:val="uk-UA"/>
        </w:rPr>
        <w:t xml:space="preserve">ся </w:t>
      </w:r>
      <w:r w:rsidR="000C5834">
        <w:rPr>
          <w:color w:val="000000" w:themeColor="text1"/>
          <w:lang w:val="uk-UA"/>
        </w:rPr>
        <w:t xml:space="preserve"> не </w:t>
      </w:r>
      <w:r w:rsidRPr="00D31360">
        <w:rPr>
          <w:color w:val="000000" w:themeColor="text1"/>
          <w:lang w:val="uk-UA"/>
        </w:rPr>
        <w:t>в межах орієнтовного позитивного значення</w:t>
      </w:r>
      <w:r w:rsidR="000C5834">
        <w:rPr>
          <w:color w:val="000000" w:themeColor="text1"/>
          <w:lang w:val="uk-UA"/>
        </w:rPr>
        <w:t>.</w:t>
      </w:r>
    </w:p>
    <w:p w:rsidR="000C5834" w:rsidRDefault="00093B69" w:rsidP="000C5834">
      <w:pPr>
        <w:ind w:firstLine="426"/>
        <w:jc w:val="both"/>
        <w:rPr>
          <w:color w:val="000000" w:themeColor="text1"/>
          <w:lang w:val="uk-UA"/>
        </w:rPr>
      </w:pPr>
      <w:r w:rsidRPr="00562517">
        <w:rPr>
          <w:color w:val="000000" w:themeColor="text1"/>
          <w:lang w:val="uk-UA"/>
        </w:rPr>
        <w:t>Коефіцієнт загальної ліквідності</w:t>
      </w:r>
      <w:r>
        <w:rPr>
          <w:color w:val="000000" w:themeColor="text1"/>
          <w:lang w:val="uk-UA"/>
        </w:rPr>
        <w:t xml:space="preserve"> характеризує готовність Т</w:t>
      </w:r>
      <w:r w:rsidRPr="00562517">
        <w:rPr>
          <w:color w:val="000000" w:themeColor="text1"/>
          <w:lang w:val="uk-UA"/>
        </w:rPr>
        <w:t xml:space="preserve">овариства ліквідувати поточні зобов'язання і визначається як відношення оборотних активів товариства до суми поточних зобов'язань </w:t>
      </w:r>
      <w:r>
        <w:rPr>
          <w:color w:val="000000" w:themeColor="text1"/>
          <w:lang w:val="uk-UA"/>
        </w:rPr>
        <w:t>і</w:t>
      </w:r>
      <w:r w:rsidRPr="00D31360">
        <w:rPr>
          <w:i/>
          <w:color w:val="000000" w:themeColor="text1"/>
          <w:lang w:val="uk-UA"/>
        </w:rPr>
        <w:t xml:space="preserve"> </w:t>
      </w:r>
      <w:r w:rsidRPr="00D31360">
        <w:rPr>
          <w:color w:val="000000" w:themeColor="text1"/>
          <w:lang w:val="uk-UA"/>
        </w:rPr>
        <w:t>свідчить  про те</w:t>
      </w:r>
      <w:r>
        <w:rPr>
          <w:color w:val="000000" w:themeColor="text1"/>
          <w:lang w:val="uk-UA"/>
        </w:rPr>
        <w:t>,</w:t>
      </w:r>
      <w:r w:rsidRPr="00D31360">
        <w:rPr>
          <w:color w:val="000000" w:themeColor="text1"/>
          <w:lang w:val="uk-UA"/>
        </w:rPr>
        <w:t xml:space="preserve"> що у </w:t>
      </w:r>
      <w:r>
        <w:rPr>
          <w:color w:val="000000" w:themeColor="text1"/>
          <w:lang w:val="uk-UA"/>
        </w:rPr>
        <w:t>Товариства</w:t>
      </w:r>
      <w:r w:rsidRPr="00D31360">
        <w:rPr>
          <w:color w:val="000000" w:themeColor="text1"/>
          <w:lang w:val="uk-UA"/>
        </w:rPr>
        <w:t xml:space="preserve">  </w:t>
      </w:r>
      <w:r>
        <w:rPr>
          <w:color w:val="000000" w:themeColor="text1"/>
          <w:lang w:val="uk-UA"/>
        </w:rPr>
        <w:t>не</w:t>
      </w:r>
      <w:r w:rsidRPr="00D31360">
        <w:rPr>
          <w:color w:val="000000" w:themeColor="text1"/>
          <w:lang w:val="uk-UA"/>
        </w:rPr>
        <w:t xml:space="preserve">достатньо власних ресурсів для </w:t>
      </w:r>
      <w:r w:rsidR="000C5834">
        <w:rPr>
          <w:color w:val="000000" w:themeColor="text1"/>
          <w:lang w:val="uk-UA"/>
        </w:rPr>
        <w:t xml:space="preserve">погашення </w:t>
      </w:r>
    </w:p>
    <w:p w:rsidR="000C5834" w:rsidRDefault="000C5834" w:rsidP="000C5834">
      <w:pPr>
        <w:ind w:firstLine="426"/>
        <w:jc w:val="both"/>
        <w:rPr>
          <w:color w:val="000000" w:themeColor="text1"/>
          <w:lang w:val="uk-UA"/>
        </w:rPr>
      </w:pPr>
    </w:p>
    <w:p w:rsidR="000C5834" w:rsidRDefault="000C5834" w:rsidP="000C5834">
      <w:pPr>
        <w:ind w:firstLine="426"/>
        <w:jc w:val="both"/>
        <w:rPr>
          <w:color w:val="000000" w:themeColor="text1"/>
          <w:lang w:val="uk-UA"/>
        </w:rPr>
      </w:pPr>
    </w:p>
    <w:p w:rsidR="000C5834" w:rsidRDefault="000C5834" w:rsidP="000C5834">
      <w:pPr>
        <w:ind w:firstLine="426"/>
        <w:jc w:val="both"/>
        <w:rPr>
          <w:color w:val="000000" w:themeColor="text1"/>
          <w:lang w:val="uk-UA"/>
        </w:rPr>
      </w:pPr>
    </w:p>
    <w:p w:rsidR="000C5834" w:rsidRDefault="00093B69" w:rsidP="00EF0BEA">
      <w:pPr>
        <w:jc w:val="both"/>
        <w:rPr>
          <w:color w:val="000000" w:themeColor="text1"/>
          <w:lang w:val="uk-UA"/>
        </w:rPr>
      </w:pPr>
      <w:r w:rsidRPr="00D31360">
        <w:rPr>
          <w:color w:val="000000" w:themeColor="text1"/>
          <w:lang w:val="uk-UA"/>
        </w:rPr>
        <w:t>його поточних зобов’язань. Значення даного коефіцієнту на</w:t>
      </w:r>
      <w:r>
        <w:rPr>
          <w:color w:val="000000" w:themeColor="text1"/>
          <w:lang w:val="uk-UA"/>
        </w:rPr>
        <w:t xml:space="preserve"> початок і на</w:t>
      </w:r>
      <w:r w:rsidRPr="00D31360">
        <w:rPr>
          <w:color w:val="000000" w:themeColor="text1"/>
          <w:lang w:val="uk-UA"/>
        </w:rPr>
        <w:t xml:space="preserve"> кінець звітного періоду </w:t>
      </w:r>
      <w:r>
        <w:rPr>
          <w:color w:val="000000" w:themeColor="text1"/>
          <w:lang w:val="uk-UA"/>
        </w:rPr>
        <w:t xml:space="preserve">нижче </w:t>
      </w:r>
      <w:r w:rsidRPr="00D31360">
        <w:rPr>
          <w:color w:val="000000" w:themeColor="text1"/>
          <w:lang w:val="uk-UA"/>
        </w:rPr>
        <w:t>меж</w:t>
      </w:r>
      <w:r>
        <w:rPr>
          <w:color w:val="000000" w:themeColor="text1"/>
          <w:lang w:val="uk-UA"/>
        </w:rPr>
        <w:t>і</w:t>
      </w:r>
      <w:r w:rsidRPr="00D31360">
        <w:rPr>
          <w:color w:val="000000" w:themeColor="text1"/>
          <w:lang w:val="uk-UA"/>
        </w:rPr>
        <w:t xml:space="preserve"> орієнтовно позитивного значення.</w:t>
      </w:r>
    </w:p>
    <w:p w:rsidR="00093B69" w:rsidRPr="00D31360" w:rsidRDefault="00093B69" w:rsidP="00093B69">
      <w:pPr>
        <w:ind w:firstLine="426"/>
        <w:jc w:val="both"/>
        <w:rPr>
          <w:color w:val="000000" w:themeColor="text1"/>
          <w:lang w:val="uk-UA"/>
        </w:rPr>
      </w:pPr>
      <w:r w:rsidRPr="00562517">
        <w:rPr>
          <w:color w:val="000000" w:themeColor="text1"/>
          <w:lang w:val="uk-UA"/>
        </w:rPr>
        <w:t>Коефіцієнт фінансової стійкості характеризує співвідношення вл</w:t>
      </w:r>
      <w:r>
        <w:rPr>
          <w:color w:val="000000" w:themeColor="text1"/>
          <w:lang w:val="uk-UA"/>
        </w:rPr>
        <w:t>асних коштів та вартості майна Т</w:t>
      </w:r>
      <w:r w:rsidRPr="00562517">
        <w:rPr>
          <w:color w:val="000000" w:themeColor="text1"/>
          <w:lang w:val="uk-UA"/>
        </w:rPr>
        <w:t xml:space="preserve">овариства </w:t>
      </w:r>
      <w:r>
        <w:rPr>
          <w:color w:val="000000" w:themeColor="text1"/>
          <w:lang w:val="uk-UA"/>
        </w:rPr>
        <w:t xml:space="preserve">і </w:t>
      </w:r>
      <w:r w:rsidRPr="00562517">
        <w:rPr>
          <w:color w:val="000000" w:themeColor="text1"/>
          <w:lang w:val="uk-UA"/>
        </w:rPr>
        <w:t>визначає рівень фінансової стійкості відносно зовнішніх фінансових джерел</w:t>
      </w:r>
      <w:r>
        <w:rPr>
          <w:color w:val="000000" w:themeColor="text1"/>
          <w:lang w:val="uk-UA"/>
        </w:rPr>
        <w:t>. На кінець звітного періоду коефіцієнт характеризує</w:t>
      </w:r>
      <w:r w:rsidRPr="00D31360">
        <w:rPr>
          <w:color w:val="000000" w:themeColor="text1"/>
          <w:lang w:val="uk-UA"/>
        </w:rPr>
        <w:t xml:space="preserve">, що у </w:t>
      </w:r>
      <w:r>
        <w:rPr>
          <w:color w:val="000000" w:themeColor="text1"/>
          <w:lang w:val="uk-UA"/>
        </w:rPr>
        <w:t>Товариства</w:t>
      </w:r>
      <w:r w:rsidRPr="00D31360">
        <w:rPr>
          <w:color w:val="000000" w:themeColor="text1"/>
          <w:lang w:val="uk-UA"/>
        </w:rPr>
        <w:t xml:space="preserve"> </w:t>
      </w:r>
      <w:r>
        <w:rPr>
          <w:color w:val="000000" w:themeColor="text1"/>
          <w:lang w:val="uk-UA"/>
        </w:rPr>
        <w:t>не</w:t>
      </w:r>
      <w:r w:rsidRPr="00D31360">
        <w:rPr>
          <w:color w:val="000000" w:themeColor="text1"/>
          <w:lang w:val="uk-UA"/>
        </w:rPr>
        <w:t>достатня питома вага власного капіталу в загальній сумі авансованих засобів у його діяльності.</w:t>
      </w:r>
      <w:r>
        <w:rPr>
          <w:color w:val="000000" w:themeColor="text1"/>
          <w:lang w:val="uk-UA"/>
        </w:rPr>
        <w:t xml:space="preserve"> Коефіцієнт не розраховується із-за від’ємного значення</w:t>
      </w:r>
      <w:r w:rsidR="00EF0BEA">
        <w:rPr>
          <w:color w:val="000000" w:themeColor="text1"/>
          <w:lang w:val="uk-UA"/>
        </w:rPr>
        <w:t xml:space="preserve"> суми </w:t>
      </w:r>
      <w:r>
        <w:rPr>
          <w:color w:val="000000" w:themeColor="text1"/>
          <w:lang w:val="uk-UA"/>
        </w:rPr>
        <w:t xml:space="preserve"> власного капіталу товариства</w:t>
      </w:r>
    </w:p>
    <w:p w:rsidR="00093B69" w:rsidRPr="00D31360" w:rsidRDefault="00093B69" w:rsidP="00093B69">
      <w:pPr>
        <w:ind w:firstLine="426"/>
        <w:jc w:val="both"/>
        <w:rPr>
          <w:color w:val="000000" w:themeColor="text1"/>
          <w:lang w:val="uk-UA"/>
        </w:rPr>
      </w:pPr>
      <w:r w:rsidRPr="00562517">
        <w:rPr>
          <w:color w:val="000000" w:themeColor="text1"/>
          <w:lang w:val="uk-UA"/>
        </w:rPr>
        <w:t>Коефіцієнт покриття зобов`язань</w:t>
      </w:r>
      <w:r w:rsidRPr="00562517">
        <w:rPr>
          <w:b/>
          <w:color w:val="000000" w:themeColor="text1"/>
          <w:lang w:val="uk-UA"/>
        </w:rPr>
        <w:t xml:space="preserve"> </w:t>
      </w:r>
      <w:r w:rsidRPr="00562517">
        <w:rPr>
          <w:color w:val="000000" w:themeColor="text1"/>
          <w:lang w:val="uk-UA"/>
        </w:rPr>
        <w:t xml:space="preserve">характеризує співвідношення зобов'язань та власних коштів </w:t>
      </w:r>
      <w:r>
        <w:rPr>
          <w:color w:val="000000" w:themeColor="text1"/>
          <w:lang w:val="uk-UA"/>
        </w:rPr>
        <w:t>Т</w:t>
      </w:r>
      <w:r w:rsidRPr="00562517">
        <w:rPr>
          <w:color w:val="000000" w:themeColor="text1"/>
          <w:lang w:val="uk-UA"/>
        </w:rPr>
        <w:t>овариства</w:t>
      </w:r>
      <w:r w:rsidRPr="00D31360">
        <w:rPr>
          <w:color w:val="000000" w:themeColor="text1"/>
          <w:lang w:val="uk-UA"/>
        </w:rPr>
        <w:t>, тобто співвідношення залучених та власних засобів</w:t>
      </w:r>
      <w:r w:rsidR="00EF0BEA">
        <w:rPr>
          <w:color w:val="000000" w:themeColor="text1"/>
          <w:lang w:val="uk-UA"/>
        </w:rPr>
        <w:t>.</w:t>
      </w:r>
      <w:r w:rsidRPr="00D31360">
        <w:rPr>
          <w:color w:val="000000" w:themeColor="text1"/>
          <w:lang w:val="uk-UA"/>
        </w:rPr>
        <w:t xml:space="preserve"> За результатами 2016 року коефіцієнт покриття зобов’язань </w:t>
      </w:r>
      <w:r>
        <w:rPr>
          <w:color w:val="000000" w:themeColor="text1"/>
          <w:lang w:val="uk-UA"/>
        </w:rPr>
        <w:t xml:space="preserve">не розраховується із-за від’ємного значення </w:t>
      </w:r>
      <w:r w:rsidR="00EF0BEA">
        <w:rPr>
          <w:color w:val="000000" w:themeColor="text1"/>
          <w:lang w:val="uk-UA"/>
        </w:rPr>
        <w:t xml:space="preserve">суми </w:t>
      </w:r>
      <w:r>
        <w:rPr>
          <w:color w:val="000000" w:themeColor="text1"/>
          <w:lang w:val="uk-UA"/>
        </w:rPr>
        <w:t>власного капіталу товариства</w:t>
      </w:r>
      <w:r w:rsidR="00EF0BEA">
        <w:rPr>
          <w:color w:val="000000" w:themeColor="text1"/>
          <w:lang w:val="uk-UA"/>
        </w:rPr>
        <w:t>.</w:t>
      </w:r>
    </w:p>
    <w:p w:rsidR="009A705C" w:rsidRPr="00775C3C" w:rsidRDefault="009A705C" w:rsidP="009A705C">
      <w:pPr>
        <w:pStyle w:val="Default"/>
        <w:jc w:val="both"/>
        <w:rPr>
          <w:color w:val="auto"/>
          <w:lang w:val="uk-UA"/>
        </w:rPr>
      </w:pPr>
    </w:p>
    <w:p w:rsidR="009A705C" w:rsidRDefault="009A705C" w:rsidP="009A705C">
      <w:pPr>
        <w:pStyle w:val="Default"/>
        <w:jc w:val="center"/>
        <w:rPr>
          <w:b/>
          <w:bCs/>
          <w:i/>
          <w:iCs/>
          <w:color w:val="auto"/>
          <w:lang w:val="uk-UA"/>
        </w:rPr>
      </w:pPr>
      <w:r>
        <w:rPr>
          <w:b/>
          <w:i/>
          <w:snapToGrid w:val="0"/>
          <w:lang w:val="uk-UA"/>
        </w:rPr>
        <w:t>7.4</w:t>
      </w:r>
      <w:r w:rsidRPr="00BA0848">
        <w:rPr>
          <w:b/>
          <w:bCs/>
          <w:i/>
          <w:iCs/>
          <w:color w:val="auto"/>
          <w:lang w:val="uk-UA"/>
        </w:rPr>
        <w:t xml:space="preserve"> </w:t>
      </w:r>
      <w:r>
        <w:rPr>
          <w:b/>
          <w:bCs/>
          <w:i/>
          <w:iCs/>
          <w:color w:val="auto"/>
          <w:lang w:val="uk-UA"/>
        </w:rPr>
        <w:t>В</w:t>
      </w:r>
      <w:r w:rsidRPr="00BA0848">
        <w:rPr>
          <w:b/>
          <w:bCs/>
          <w:i/>
          <w:iCs/>
          <w:color w:val="auto"/>
          <w:lang w:val="uk-UA"/>
        </w:rPr>
        <w:t>иконання значних правочинів (10 і більше відсотків вартості активів товариства за даними останньої річної фінансової звітності) відповідно до Закону України «Про акціонерні товариства»</w:t>
      </w:r>
      <w:r w:rsidR="00454EDD">
        <w:rPr>
          <w:b/>
          <w:bCs/>
          <w:i/>
          <w:iCs/>
          <w:color w:val="auto"/>
          <w:lang w:val="uk-UA"/>
        </w:rPr>
        <w:t>.</w:t>
      </w:r>
    </w:p>
    <w:p w:rsidR="009A705C" w:rsidRPr="00D31360" w:rsidRDefault="009A705C" w:rsidP="009A705C">
      <w:pPr>
        <w:pStyle w:val="Default"/>
        <w:jc w:val="center"/>
        <w:rPr>
          <w:color w:val="auto"/>
          <w:lang w:val="uk-UA"/>
        </w:rPr>
      </w:pPr>
    </w:p>
    <w:p w:rsidR="00D949F4" w:rsidRPr="00D31360" w:rsidRDefault="00D949F4" w:rsidP="00D949F4">
      <w:pPr>
        <w:pStyle w:val="Default"/>
        <w:ind w:firstLine="426"/>
        <w:jc w:val="both"/>
        <w:rPr>
          <w:color w:val="auto"/>
          <w:lang w:val="uk-UA"/>
        </w:rPr>
      </w:pPr>
      <w:r w:rsidRPr="00D31360">
        <w:rPr>
          <w:color w:val="auto"/>
          <w:lang w:val="uk-UA"/>
        </w:rPr>
        <w:t xml:space="preserve">Ми перевірили діючі в 2016 році положення Статуту Товариства, в яких не визначено додаткових критеріїв для віднесення правочину до значного правочину. </w:t>
      </w:r>
    </w:p>
    <w:p w:rsidR="00D949F4" w:rsidRPr="00D31360" w:rsidRDefault="00D949F4" w:rsidP="00D949F4">
      <w:pPr>
        <w:pStyle w:val="Default"/>
        <w:ind w:firstLine="426"/>
        <w:jc w:val="both"/>
        <w:rPr>
          <w:color w:val="auto"/>
          <w:lang w:val="uk-UA"/>
        </w:rPr>
      </w:pPr>
      <w:r w:rsidRPr="00D31360">
        <w:rPr>
          <w:color w:val="auto"/>
          <w:lang w:val="uk-UA"/>
        </w:rPr>
        <w:t xml:space="preserve">Виконання значних правочинів здійснюється Товариством відповідно до Закону України «Про акціонерні товариства» та Статуту Товариства, згідно з якими рішення про вчинення значного правочину приймається Наглядовою (Спостережною) радою,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акціонерного товариства.       </w:t>
      </w:r>
    </w:p>
    <w:p w:rsidR="00D949F4" w:rsidRPr="00D31360" w:rsidRDefault="00D949F4" w:rsidP="00D949F4">
      <w:pPr>
        <w:pStyle w:val="Default"/>
        <w:ind w:firstLine="426"/>
        <w:jc w:val="both"/>
        <w:rPr>
          <w:color w:val="auto"/>
          <w:lang w:val="uk-UA"/>
        </w:rPr>
      </w:pPr>
      <w:r>
        <w:rPr>
          <w:color w:val="auto"/>
          <w:lang w:val="uk-UA"/>
        </w:rPr>
        <w:t>В</w:t>
      </w:r>
      <w:r w:rsidRPr="00D31360">
        <w:rPr>
          <w:color w:val="auto"/>
          <w:lang w:val="uk-UA"/>
        </w:rPr>
        <w:t>важа</w:t>
      </w:r>
      <w:r>
        <w:rPr>
          <w:color w:val="auto"/>
          <w:lang w:val="uk-UA"/>
        </w:rPr>
        <w:t>ємо</w:t>
      </w:r>
      <w:r w:rsidRPr="00D31360">
        <w:rPr>
          <w:color w:val="auto"/>
          <w:lang w:val="uk-UA"/>
        </w:rPr>
        <w:t xml:space="preserve">, що вчинення Товариством значних правочинів у 2016 р. відповідає нормам законодавства. </w:t>
      </w:r>
    </w:p>
    <w:p w:rsidR="009A705C" w:rsidRPr="004F04E0" w:rsidRDefault="009A705C" w:rsidP="009A705C">
      <w:pPr>
        <w:pStyle w:val="Default"/>
        <w:jc w:val="both"/>
        <w:rPr>
          <w:color w:val="auto"/>
          <w:lang w:val="uk-UA"/>
        </w:rPr>
      </w:pPr>
    </w:p>
    <w:p w:rsidR="009A705C" w:rsidRPr="00D31360" w:rsidRDefault="009A705C" w:rsidP="009A705C">
      <w:pPr>
        <w:pStyle w:val="Default"/>
        <w:jc w:val="center"/>
        <w:rPr>
          <w:b/>
          <w:bCs/>
          <w:i/>
          <w:iCs/>
          <w:color w:val="auto"/>
          <w:lang w:val="uk-UA"/>
        </w:rPr>
      </w:pPr>
      <w:r w:rsidRPr="00D31360">
        <w:rPr>
          <w:b/>
          <w:i/>
          <w:snapToGrid w:val="0"/>
          <w:lang w:val="uk-UA"/>
        </w:rPr>
        <w:t>7.5</w:t>
      </w:r>
      <w:r w:rsidRPr="00D31360">
        <w:rPr>
          <w:b/>
          <w:bCs/>
          <w:i/>
          <w:iCs/>
          <w:color w:val="auto"/>
          <w:lang w:val="uk-UA"/>
        </w:rPr>
        <w:t xml:space="preserve"> Стан корпоративного управління, у тому числі стану внутрішнього аудиту відповідно до Закону України «Про акціонерні товариства»</w:t>
      </w:r>
      <w:r w:rsidR="005E49F1">
        <w:rPr>
          <w:b/>
          <w:bCs/>
          <w:i/>
          <w:iCs/>
          <w:color w:val="auto"/>
          <w:lang w:val="uk-UA"/>
        </w:rPr>
        <w:t>.</w:t>
      </w:r>
    </w:p>
    <w:p w:rsidR="009A705C" w:rsidRPr="00D31360" w:rsidRDefault="009A705C" w:rsidP="009A705C">
      <w:pPr>
        <w:pStyle w:val="Default"/>
        <w:jc w:val="center"/>
        <w:rPr>
          <w:b/>
          <w:color w:val="auto"/>
          <w:lang w:val="uk-UA"/>
        </w:rPr>
      </w:pPr>
    </w:p>
    <w:p w:rsidR="009A705C" w:rsidRPr="00D31360" w:rsidRDefault="009A705C" w:rsidP="009A705C">
      <w:pPr>
        <w:pStyle w:val="Default"/>
        <w:ind w:firstLine="426"/>
        <w:jc w:val="both"/>
        <w:rPr>
          <w:color w:val="auto"/>
          <w:lang w:val="uk-UA"/>
        </w:rPr>
      </w:pPr>
      <w:r w:rsidRPr="00D31360">
        <w:rPr>
          <w:color w:val="auto"/>
          <w:lang w:val="uk-UA"/>
        </w:rPr>
        <w:t xml:space="preserve">Метою виконання процедур щодо стану корпоративного управління, у тому числі внутрішнього аудиту відповідно до Закону України «Про акціонерні товариства» було отримання доказів, які дозволяють сформувати судження щодо: </w:t>
      </w:r>
    </w:p>
    <w:p w:rsidR="00600FA3" w:rsidRPr="00D31360" w:rsidRDefault="009A705C" w:rsidP="00682D6E">
      <w:pPr>
        <w:pStyle w:val="Default"/>
        <w:ind w:firstLine="426"/>
        <w:jc w:val="both"/>
        <w:rPr>
          <w:color w:val="auto"/>
          <w:lang w:val="uk-UA"/>
        </w:rPr>
      </w:pPr>
      <w:r w:rsidRPr="00D31360">
        <w:rPr>
          <w:color w:val="auto"/>
          <w:lang w:val="uk-UA"/>
        </w:rPr>
        <w:t>- відповідності системи корпоративного управління в Товаристві вимогам Закону України «Про акціонерні</w:t>
      </w:r>
      <w:r w:rsidR="00916434">
        <w:rPr>
          <w:color w:val="auto"/>
          <w:lang w:val="uk-UA"/>
        </w:rPr>
        <w:t xml:space="preserve"> товариства» та вимогам Статуту;</w:t>
      </w:r>
    </w:p>
    <w:p w:rsidR="00BC60B9" w:rsidRPr="00D31360" w:rsidRDefault="009A705C" w:rsidP="00135F32">
      <w:pPr>
        <w:pStyle w:val="Default"/>
        <w:ind w:firstLine="426"/>
        <w:jc w:val="both"/>
        <w:rPr>
          <w:color w:val="auto"/>
          <w:lang w:val="uk-UA"/>
        </w:rPr>
      </w:pPr>
      <w:r w:rsidRPr="00D31360">
        <w:rPr>
          <w:color w:val="auto"/>
          <w:lang w:val="uk-UA"/>
        </w:rPr>
        <w:t xml:space="preserve">- достовірності та повноти розкриття інформації про стан корпоративного управління в розділі «Інформація про стан корпоративного управління» річного звіту Товариства, який подається до Національної комісії з цінних паперів та фондового ринку. </w:t>
      </w:r>
    </w:p>
    <w:p w:rsidR="009A705C" w:rsidRPr="00D31360" w:rsidRDefault="009A705C" w:rsidP="009A705C">
      <w:pPr>
        <w:pStyle w:val="Default"/>
        <w:ind w:firstLine="426"/>
        <w:jc w:val="both"/>
        <w:rPr>
          <w:color w:val="FF0000"/>
          <w:lang w:val="uk-UA"/>
        </w:rPr>
      </w:pPr>
      <w:r w:rsidRPr="00D31360">
        <w:rPr>
          <w:color w:val="auto"/>
          <w:lang w:val="uk-UA"/>
        </w:rPr>
        <w:t xml:space="preserve">   Формування складу органів корпоративного управління Товариства здійснюється відповідно </w:t>
      </w:r>
      <w:r w:rsidRPr="00D31360">
        <w:rPr>
          <w:color w:val="000000" w:themeColor="text1"/>
          <w:lang w:val="uk-UA"/>
        </w:rPr>
        <w:t>Статуту</w:t>
      </w:r>
      <w:r w:rsidR="00B47752" w:rsidRPr="00D31360">
        <w:rPr>
          <w:color w:val="000000" w:themeColor="text1"/>
          <w:lang w:val="uk-UA"/>
        </w:rPr>
        <w:t xml:space="preserve"> </w:t>
      </w:r>
      <w:r w:rsidR="00346613" w:rsidRPr="00D31360">
        <w:rPr>
          <w:color w:val="000000" w:themeColor="text1"/>
          <w:lang w:val="uk-UA"/>
        </w:rPr>
        <w:t>акціонерного</w:t>
      </w:r>
      <w:r w:rsidR="00346613" w:rsidRPr="00D31360">
        <w:rPr>
          <w:color w:val="auto"/>
          <w:lang w:val="uk-UA"/>
        </w:rPr>
        <w:t xml:space="preserve"> товариства</w:t>
      </w:r>
      <w:r w:rsidR="007E03A1">
        <w:rPr>
          <w:color w:val="auto"/>
          <w:lang w:val="uk-UA"/>
        </w:rPr>
        <w:t>.</w:t>
      </w:r>
    </w:p>
    <w:p w:rsidR="009A705C" w:rsidRPr="00D31360" w:rsidRDefault="009A705C" w:rsidP="009A705C">
      <w:pPr>
        <w:pStyle w:val="Default"/>
        <w:jc w:val="both"/>
        <w:rPr>
          <w:color w:val="auto"/>
          <w:lang w:val="uk-UA"/>
        </w:rPr>
      </w:pPr>
      <w:r w:rsidRPr="00D31360">
        <w:rPr>
          <w:color w:val="auto"/>
          <w:lang w:val="uk-UA"/>
        </w:rPr>
        <w:t xml:space="preserve">Протягом звітного року в Товаристві функціонували такі органи корпоративного управління: </w:t>
      </w:r>
    </w:p>
    <w:p w:rsidR="009A705C" w:rsidRPr="00D31360" w:rsidRDefault="00F3770B" w:rsidP="009A705C">
      <w:pPr>
        <w:pStyle w:val="Default"/>
        <w:ind w:firstLine="426"/>
        <w:jc w:val="both"/>
        <w:rPr>
          <w:color w:val="auto"/>
          <w:lang w:val="uk-UA"/>
        </w:rPr>
      </w:pPr>
      <w:r w:rsidRPr="00D31360">
        <w:rPr>
          <w:color w:val="auto"/>
          <w:lang w:val="uk-UA"/>
        </w:rPr>
        <w:t>- З</w:t>
      </w:r>
      <w:r w:rsidR="009A705C" w:rsidRPr="00D31360">
        <w:rPr>
          <w:color w:val="auto"/>
          <w:lang w:val="uk-UA"/>
        </w:rPr>
        <w:t>агальні збори акціонерів</w:t>
      </w:r>
      <w:r w:rsidR="009A7CE4">
        <w:rPr>
          <w:color w:val="auto"/>
          <w:lang w:val="uk-UA"/>
        </w:rPr>
        <w:t>;</w:t>
      </w:r>
      <w:r w:rsidR="009A705C" w:rsidRPr="00D31360">
        <w:rPr>
          <w:color w:val="auto"/>
          <w:lang w:val="uk-UA"/>
        </w:rPr>
        <w:t xml:space="preserve"> </w:t>
      </w:r>
    </w:p>
    <w:p w:rsidR="009A705C" w:rsidRPr="00BB0184" w:rsidRDefault="00F3770B" w:rsidP="009A705C">
      <w:pPr>
        <w:pStyle w:val="Default"/>
        <w:ind w:firstLine="426"/>
        <w:jc w:val="both"/>
        <w:rPr>
          <w:color w:val="auto"/>
          <w:lang w:val="uk-UA"/>
        </w:rPr>
      </w:pPr>
      <w:r w:rsidRPr="00BB0184">
        <w:rPr>
          <w:color w:val="auto"/>
          <w:lang w:val="uk-UA"/>
        </w:rPr>
        <w:t>- Н</w:t>
      </w:r>
      <w:r w:rsidR="009A7CE4">
        <w:rPr>
          <w:color w:val="auto"/>
          <w:lang w:val="uk-UA"/>
        </w:rPr>
        <w:t>аглядова рада;</w:t>
      </w:r>
    </w:p>
    <w:p w:rsidR="009A705C" w:rsidRPr="00BB0184" w:rsidRDefault="009A705C" w:rsidP="009A705C">
      <w:pPr>
        <w:pStyle w:val="Default"/>
        <w:ind w:firstLine="426"/>
        <w:jc w:val="both"/>
        <w:rPr>
          <w:color w:val="auto"/>
          <w:lang w:val="uk-UA"/>
        </w:rPr>
      </w:pPr>
      <w:r w:rsidRPr="00BB0184">
        <w:rPr>
          <w:color w:val="auto"/>
          <w:lang w:val="uk-UA"/>
        </w:rPr>
        <w:t xml:space="preserve">- </w:t>
      </w:r>
      <w:r w:rsidR="00EE7637">
        <w:rPr>
          <w:color w:val="auto"/>
          <w:lang w:val="uk-UA"/>
        </w:rPr>
        <w:t>Директор</w:t>
      </w:r>
      <w:r w:rsidR="009A7CE4">
        <w:rPr>
          <w:color w:val="auto"/>
          <w:lang w:val="uk-UA"/>
        </w:rPr>
        <w:t xml:space="preserve"> Товариства;</w:t>
      </w:r>
      <w:r w:rsidRPr="00BB0184">
        <w:rPr>
          <w:color w:val="auto"/>
          <w:lang w:val="uk-UA"/>
        </w:rPr>
        <w:t xml:space="preserve"> </w:t>
      </w:r>
    </w:p>
    <w:p w:rsidR="0018441A" w:rsidRPr="00A81CE3" w:rsidRDefault="00CF2733" w:rsidP="00135F32">
      <w:pPr>
        <w:pStyle w:val="Default"/>
        <w:ind w:firstLine="426"/>
        <w:jc w:val="both"/>
        <w:rPr>
          <w:color w:val="auto"/>
          <w:lang w:val="uk-UA"/>
        </w:rPr>
      </w:pPr>
      <w:r>
        <w:rPr>
          <w:color w:val="auto"/>
          <w:lang w:val="uk-UA"/>
        </w:rPr>
        <w:t>-</w:t>
      </w:r>
      <w:r w:rsidR="00135F32">
        <w:rPr>
          <w:color w:val="auto"/>
          <w:lang w:val="uk-UA"/>
        </w:rPr>
        <w:t xml:space="preserve"> </w:t>
      </w:r>
      <w:r>
        <w:rPr>
          <w:color w:val="auto"/>
          <w:lang w:val="uk-UA"/>
        </w:rPr>
        <w:t>Ревізор</w:t>
      </w:r>
      <w:r w:rsidR="00135F32">
        <w:rPr>
          <w:color w:val="auto"/>
          <w:lang w:val="uk-UA"/>
        </w:rPr>
        <w:t>;</w:t>
      </w:r>
    </w:p>
    <w:p w:rsidR="00D4697B" w:rsidRPr="0018441A" w:rsidRDefault="009A705C" w:rsidP="009A705C">
      <w:pPr>
        <w:pStyle w:val="Default"/>
        <w:jc w:val="both"/>
        <w:rPr>
          <w:color w:val="auto"/>
          <w:lang w:val="uk-UA"/>
        </w:rPr>
      </w:pPr>
      <w:r w:rsidRPr="00BB0184">
        <w:rPr>
          <w:color w:val="auto"/>
          <w:lang w:val="uk-UA"/>
        </w:rPr>
        <w:t xml:space="preserve">      Відповідно до Закону України «Про акціонерні товариства» </w:t>
      </w:r>
      <w:r w:rsidR="00F3770B" w:rsidRPr="00BB0184">
        <w:rPr>
          <w:color w:val="auto"/>
          <w:lang w:val="uk-UA"/>
        </w:rPr>
        <w:t>Н</w:t>
      </w:r>
      <w:r w:rsidRPr="00BB0184">
        <w:rPr>
          <w:color w:val="auto"/>
          <w:lang w:val="uk-UA"/>
        </w:rPr>
        <w:t xml:space="preserve">аглядова рада акціонерного товариства може утворювати постійні чи тимчасові комітети, у тому числі комітет з питань аудиту. З метою забезпечення діяльності комітету з питань аудиту </w:t>
      </w:r>
      <w:r w:rsidR="00F3770B" w:rsidRPr="00BB0184">
        <w:rPr>
          <w:color w:val="auto"/>
          <w:lang w:val="uk-UA"/>
        </w:rPr>
        <w:t>Н</w:t>
      </w:r>
      <w:r w:rsidRPr="00BB0184">
        <w:rPr>
          <w:color w:val="auto"/>
          <w:lang w:val="uk-UA"/>
        </w:rPr>
        <w:t xml:space="preserve">аглядова рада може прийняти рішення щодо запровадження в товаристві посади внутрішнього аудитора (створення служби внутрішнього аудиту). </w:t>
      </w:r>
    </w:p>
    <w:p w:rsidR="009A705C" w:rsidRDefault="009A705C" w:rsidP="009A705C">
      <w:pPr>
        <w:pStyle w:val="Default"/>
        <w:ind w:firstLine="426"/>
        <w:jc w:val="both"/>
        <w:rPr>
          <w:color w:val="auto"/>
          <w:lang w:val="uk-UA"/>
        </w:rPr>
      </w:pPr>
      <w:r w:rsidRPr="00BB0184">
        <w:rPr>
          <w:color w:val="auto"/>
          <w:lang w:val="uk-UA"/>
        </w:rPr>
        <w:t xml:space="preserve">Наглядова рада Товариства не приймала рішень щодо утворення комітету з питань аудиту та щодо запровадження в Товаристві посади внутрішнього аудитора (створення служби внутрішнього аудиту). </w:t>
      </w:r>
    </w:p>
    <w:p w:rsidR="00135F32" w:rsidRDefault="00135F32" w:rsidP="009A705C">
      <w:pPr>
        <w:pStyle w:val="Default"/>
        <w:ind w:firstLine="426"/>
        <w:jc w:val="both"/>
        <w:rPr>
          <w:color w:val="auto"/>
          <w:lang w:val="uk-UA"/>
        </w:rPr>
      </w:pPr>
    </w:p>
    <w:p w:rsidR="00135F32" w:rsidRDefault="00135F32" w:rsidP="009A705C">
      <w:pPr>
        <w:pStyle w:val="Default"/>
        <w:ind w:firstLine="426"/>
        <w:jc w:val="both"/>
        <w:rPr>
          <w:color w:val="auto"/>
          <w:lang w:val="uk-UA"/>
        </w:rPr>
      </w:pPr>
    </w:p>
    <w:p w:rsidR="00135F32" w:rsidRDefault="00135F32" w:rsidP="009A705C">
      <w:pPr>
        <w:pStyle w:val="Default"/>
        <w:ind w:firstLine="426"/>
        <w:jc w:val="both"/>
        <w:rPr>
          <w:color w:val="auto"/>
          <w:lang w:val="uk-UA"/>
        </w:rPr>
      </w:pPr>
    </w:p>
    <w:p w:rsidR="00135F32" w:rsidRPr="00BB0184" w:rsidRDefault="00135F32" w:rsidP="009A705C">
      <w:pPr>
        <w:pStyle w:val="Default"/>
        <w:ind w:firstLine="426"/>
        <w:jc w:val="both"/>
        <w:rPr>
          <w:color w:val="auto"/>
          <w:lang w:val="uk-UA"/>
        </w:rPr>
      </w:pPr>
    </w:p>
    <w:p w:rsidR="009A705C" w:rsidRPr="005479A8" w:rsidRDefault="009A705C" w:rsidP="009A705C">
      <w:pPr>
        <w:pStyle w:val="Default"/>
        <w:ind w:firstLine="426"/>
        <w:jc w:val="both"/>
        <w:rPr>
          <w:color w:val="auto"/>
          <w:lang w:val="uk-UA"/>
        </w:rPr>
      </w:pPr>
      <w:r w:rsidRPr="00BB0184">
        <w:rPr>
          <w:color w:val="auto"/>
          <w:lang w:val="uk-UA"/>
        </w:rPr>
        <w:t>Кількісний</w:t>
      </w:r>
      <w:r w:rsidRPr="005479A8">
        <w:rPr>
          <w:color w:val="auto"/>
          <w:lang w:val="uk-UA"/>
        </w:rPr>
        <w:t xml:space="preserve"> склад сформованих органів корпоративного управління Товариства відповідає вимогам Закону України «Про акціонерні товариства» та Статуту, затвердженому рішенням загальних зборів акціонерів. </w:t>
      </w:r>
    </w:p>
    <w:p w:rsidR="009A705C" w:rsidRPr="00BB0184" w:rsidRDefault="009A705C" w:rsidP="009A705C">
      <w:pPr>
        <w:pStyle w:val="Default"/>
        <w:ind w:firstLine="426"/>
        <w:jc w:val="both"/>
        <w:rPr>
          <w:color w:val="auto"/>
          <w:lang w:val="uk-UA"/>
        </w:rPr>
      </w:pPr>
      <w:r w:rsidRPr="00BB0184">
        <w:rPr>
          <w:color w:val="auto"/>
          <w:lang w:val="uk-UA"/>
        </w:rPr>
        <w:t xml:space="preserve">Щорічні загальні збори акціонерів проводились з дотриманням терміну, визначеному Законом України «Про акціонерні товариства» - до 30 квітня. </w:t>
      </w:r>
    </w:p>
    <w:p w:rsidR="009A705C" w:rsidRPr="00BB0184" w:rsidRDefault="009A705C" w:rsidP="009A705C">
      <w:pPr>
        <w:pStyle w:val="Default"/>
        <w:ind w:firstLine="426"/>
        <w:jc w:val="both"/>
        <w:rPr>
          <w:color w:val="auto"/>
          <w:lang w:val="uk-UA"/>
        </w:rPr>
      </w:pPr>
      <w:r w:rsidRPr="00BB0184">
        <w:rPr>
          <w:color w:val="auto"/>
          <w:lang w:val="uk-UA"/>
        </w:rPr>
        <w:t xml:space="preserve">Протягом звітного року </w:t>
      </w:r>
      <w:r w:rsidR="00EE7637">
        <w:rPr>
          <w:color w:val="auto"/>
          <w:lang w:val="uk-UA"/>
        </w:rPr>
        <w:t xml:space="preserve">Директор </w:t>
      </w:r>
      <w:r w:rsidRPr="00BB0184">
        <w:rPr>
          <w:color w:val="auto"/>
          <w:lang w:val="uk-UA"/>
        </w:rPr>
        <w:t xml:space="preserve">здійснював поточне управління фінансово-господарською діяльністю Товариства в межах своїх повноважень, які встановлено Статутом Товариства. </w:t>
      </w:r>
    </w:p>
    <w:p w:rsidR="009A705C" w:rsidRPr="00C051A8" w:rsidRDefault="009A705C" w:rsidP="009A705C">
      <w:pPr>
        <w:pStyle w:val="Default"/>
        <w:ind w:firstLine="426"/>
        <w:jc w:val="both"/>
        <w:rPr>
          <w:color w:val="auto"/>
        </w:rPr>
      </w:pPr>
      <w:r w:rsidRPr="00BB0184">
        <w:rPr>
          <w:color w:val="auto"/>
          <w:lang w:val="uk-UA"/>
        </w:rPr>
        <w:t xml:space="preserve">Контроль за фінансово-господарською діяльністю Товариства протягом звітного року </w:t>
      </w:r>
      <w:r w:rsidR="00EE7637">
        <w:rPr>
          <w:color w:val="auto"/>
          <w:lang w:val="uk-UA"/>
        </w:rPr>
        <w:t xml:space="preserve">здійснювався </w:t>
      </w:r>
      <w:r w:rsidR="00CF2733">
        <w:rPr>
          <w:color w:val="auto"/>
          <w:lang w:val="uk-UA"/>
        </w:rPr>
        <w:t xml:space="preserve">ревізором </w:t>
      </w:r>
      <w:r w:rsidR="00D44B30">
        <w:rPr>
          <w:color w:val="auto"/>
          <w:lang w:val="uk-UA"/>
        </w:rPr>
        <w:t>.</w:t>
      </w:r>
      <w:r w:rsidRPr="005479A8">
        <w:rPr>
          <w:color w:val="auto"/>
        </w:rPr>
        <w:t xml:space="preserve"> Спеціальні перевірки протягом звітного року не проводились. </w:t>
      </w:r>
    </w:p>
    <w:p w:rsidR="009A705C" w:rsidRPr="00A524D0" w:rsidRDefault="00D4697B" w:rsidP="00D4697B">
      <w:pPr>
        <w:pStyle w:val="Default"/>
        <w:jc w:val="both"/>
        <w:rPr>
          <w:color w:val="auto"/>
          <w:lang w:val="uk-UA"/>
        </w:rPr>
      </w:pPr>
      <w:r>
        <w:rPr>
          <w:lang w:val="uk-UA"/>
        </w:rPr>
        <w:t xml:space="preserve">      </w:t>
      </w:r>
      <w:r w:rsidR="009A705C" w:rsidRPr="00A524D0">
        <w:rPr>
          <w:lang w:val="uk-UA"/>
        </w:rPr>
        <w:t xml:space="preserve"> </w:t>
      </w:r>
      <w:r w:rsidR="009A705C" w:rsidRPr="00F30CD7">
        <w:rPr>
          <w:lang w:val="uk-UA"/>
        </w:rPr>
        <w:t>Система управління ризиками, які притаманні ПрАТ «</w:t>
      </w:r>
      <w:r w:rsidR="00A95782">
        <w:rPr>
          <w:lang w:val="uk-UA"/>
        </w:rPr>
        <w:t>Укртранс-Вінниця</w:t>
      </w:r>
      <w:r w:rsidR="009A705C" w:rsidRPr="00F30CD7">
        <w:rPr>
          <w:lang w:val="uk-UA"/>
        </w:rPr>
        <w:t>», включає наступні складові:</w:t>
      </w:r>
    </w:p>
    <w:p w:rsidR="009A705C" w:rsidRPr="005479A8" w:rsidRDefault="009A705C" w:rsidP="009A705C">
      <w:pPr>
        <w:pStyle w:val="a6"/>
        <w:spacing w:after="0" w:line="240" w:lineRule="auto"/>
        <w:ind w:left="0" w:firstLine="426"/>
        <w:jc w:val="both"/>
        <w:rPr>
          <w:rFonts w:ascii="Times New Roman" w:hAnsi="Times New Roman"/>
          <w:sz w:val="24"/>
          <w:szCs w:val="24"/>
        </w:rPr>
      </w:pPr>
      <w:r w:rsidRPr="005479A8">
        <w:rPr>
          <w:rFonts w:ascii="Times New Roman" w:hAnsi="Times New Roman"/>
          <w:sz w:val="24"/>
          <w:szCs w:val="24"/>
        </w:rPr>
        <w:t xml:space="preserve"> • стратегія та мета ризик – менеджменту;</w:t>
      </w:r>
    </w:p>
    <w:p w:rsidR="009A705C" w:rsidRPr="005479A8" w:rsidRDefault="009A705C" w:rsidP="009A705C">
      <w:pPr>
        <w:pStyle w:val="a6"/>
        <w:spacing w:after="0" w:line="240" w:lineRule="auto"/>
        <w:ind w:left="0" w:firstLine="426"/>
        <w:jc w:val="both"/>
        <w:rPr>
          <w:rFonts w:ascii="Times New Roman" w:hAnsi="Times New Roman"/>
          <w:sz w:val="24"/>
          <w:szCs w:val="24"/>
        </w:rPr>
      </w:pPr>
      <w:r w:rsidRPr="005479A8">
        <w:rPr>
          <w:rFonts w:ascii="Times New Roman" w:hAnsi="Times New Roman"/>
          <w:sz w:val="24"/>
          <w:szCs w:val="24"/>
        </w:rPr>
        <w:t xml:space="preserve"> • управління ризиками;</w:t>
      </w:r>
    </w:p>
    <w:p w:rsidR="009A705C" w:rsidRPr="005479A8" w:rsidRDefault="009A705C" w:rsidP="009A705C">
      <w:pPr>
        <w:pStyle w:val="a6"/>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5479A8">
        <w:rPr>
          <w:rFonts w:ascii="Times New Roman" w:hAnsi="Times New Roman"/>
          <w:sz w:val="24"/>
          <w:szCs w:val="24"/>
        </w:rPr>
        <w:t xml:space="preserve">• загальні підходи до мінімізації та оптимізації ризиків; </w:t>
      </w:r>
    </w:p>
    <w:p w:rsidR="009A705C" w:rsidRPr="005479A8" w:rsidRDefault="009A705C" w:rsidP="009A705C">
      <w:pPr>
        <w:pStyle w:val="a6"/>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5479A8">
        <w:rPr>
          <w:rFonts w:ascii="Times New Roman" w:hAnsi="Times New Roman"/>
          <w:sz w:val="24"/>
          <w:szCs w:val="24"/>
        </w:rPr>
        <w:t xml:space="preserve">• джерела та механізми контролю за ризиками; </w:t>
      </w:r>
    </w:p>
    <w:p w:rsidR="009A705C" w:rsidRPr="005479A8" w:rsidRDefault="009A705C" w:rsidP="009A705C">
      <w:pPr>
        <w:pStyle w:val="a6"/>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5479A8">
        <w:rPr>
          <w:rFonts w:ascii="Times New Roman" w:hAnsi="Times New Roman"/>
          <w:sz w:val="24"/>
          <w:szCs w:val="24"/>
        </w:rPr>
        <w:t xml:space="preserve">• аналіз ризиків. </w:t>
      </w:r>
    </w:p>
    <w:p w:rsidR="009A705C" w:rsidRPr="005479A8" w:rsidRDefault="009A705C" w:rsidP="009A705C">
      <w:pPr>
        <w:pStyle w:val="a6"/>
        <w:spacing w:after="0" w:line="240" w:lineRule="auto"/>
        <w:ind w:left="0" w:firstLine="426"/>
        <w:jc w:val="both"/>
        <w:rPr>
          <w:rFonts w:ascii="Times New Roman" w:hAnsi="Times New Roman"/>
          <w:sz w:val="24"/>
          <w:szCs w:val="24"/>
        </w:rPr>
      </w:pPr>
      <w:r w:rsidRPr="005479A8">
        <w:rPr>
          <w:rFonts w:ascii="Times New Roman" w:hAnsi="Times New Roman"/>
          <w:sz w:val="24"/>
          <w:szCs w:val="24"/>
        </w:rPr>
        <w:t xml:space="preserve">Загальну стратегію управління ризиками у ПрАТ </w:t>
      </w:r>
      <w:r w:rsidRPr="00135F32">
        <w:rPr>
          <w:rFonts w:ascii="Times New Roman" w:hAnsi="Times New Roman"/>
          <w:sz w:val="24"/>
          <w:szCs w:val="24"/>
        </w:rPr>
        <w:t>«</w:t>
      </w:r>
      <w:r w:rsidR="00A95782" w:rsidRPr="00135F32">
        <w:rPr>
          <w:rFonts w:ascii="Times New Roman" w:hAnsi="Times New Roman"/>
          <w:sz w:val="24"/>
          <w:szCs w:val="24"/>
        </w:rPr>
        <w:t>Укртранс-Вінниця</w:t>
      </w:r>
      <w:r w:rsidR="0011088B" w:rsidRPr="00135F32">
        <w:rPr>
          <w:rFonts w:ascii="Times New Roman" w:hAnsi="Times New Roman"/>
          <w:sz w:val="24"/>
          <w:szCs w:val="24"/>
        </w:rPr>
        <w:t>»</w:t>
      </w:r>
      <w:r w:rsidR="00346613" w:rsidRPr="005479A8">
        <w:rPr>
          <w:rFonts w:ascii="Times New Roman" w:hAnsi="Times New Roman"/>
          <w:color w:val="000000"/>
          <w:sz w:val="24"/>
          <w:szCs w:val="24"/>
        </w:rPr>
        <w:t xml:space="preserve"> </w:t>
      </w:r>
      <w:r w:rsidRPr="005479A8">
        <w:rPr>
          <w:rFonts w:ascii="Times New Roman" w:hAnsi="Times New Roman"/>
          <w:color w:val="000000"/>
          <w:sz w:val="24"/>
          <w:szCs w:val="24"/>
        </w:rPr>
        <w:t>в</w:t>
      </w:r>
      <w:r w:rsidR="00C077E5">
        <w:rPr>
          <w:rFonts w:ascii="Times New Roman" w:hAnsi="Times New Roman"/>
          <w:sz w:val="24"/>
          <w:szCs w:val="24"/>
        </w:rPr>
        <w:t>изначає Н</w:t>
      </w:r>
      <w:r w:rsidRPr="005479A8">
        <w:rPr>
          <w:rFonts w:ascii="Times New Roman" w:hAnsi="Times New Roman"/>
          <w:sz w:val="24"/>
          <w:szCs w:val="24"/>
        </w:rPr>
        <w:t xml:space="preserve">аглядова рада, а загальне керівництво управлінням ризиками здійснює </w:t>
      </w:r>
      <w:r w:rsidR="00EE7637">
        <w:rPr>
          <w:rFonts w:ascii="Times New Roman" w:hAnsi="Times New Roman"/>
          <w:sz w:val="24"/>
          <w:szCs w:val="24"/>
        </w:rPr>
        <w:t>Директор</w:t>
      </w:r>
      <w:r w:rsidRPr="005479A8">
        <w:rPr>
          <w:rFonts w:ascii="Times New Roman" w:hAnsi="Times New Roman"/>
          <w:sz w:val="24"/>
          <w:szCs w:val="24"/>
        </w:rPr>
        <w:t xml:space="preserve"> Товариства.</w:t>
      </w:r>
    </w:p>
    <w:p w:rsidR="009A705C" w:rsidRPr="005479A8" w:rsidRDefault="009A705C" w:rsidP="009A705C">
      <w:pPr>
        <w:pStyle w:val="a6"/>
        <w:spacing w:after="0" w:line="240" w:lineRule="auto"/>
        <w:ind w:left="0" w:firstLine="403"/>
        <w:jc w:val="both"/>
        <w:rPr>
          <w:rFonts w:ascii="Times New Roman" w:hAnsi="Times New Roman"/>
          <w:sz w:val="24"/>
          <w:szCs w:val="24"/>
        </w:rPr>
      </w:pPr>
      <w:r w:rsidRPr="005479A8">
        <w:rPr>
          <w:rFonts w:ascii="Times New Roman" w:hAnsi="Times New Roman"/>
          <w:sz w:val="24"/>
          <w:szCs w:val="24"/>
        </w:rPr>
        <w:t xml:space="preserve">Результати перевірки стану корпоративного управління Товариства свідчить, що прийнята та функціонуюча система корпоративного управління в Товаристві відповідає вимогам Закону України «Про акціонерні товариства» та Статуту Товариства, а наведена у річному звіті «Інформація про стан корпоративного управління» повно та достовірно розкриває фактичний склад органів корпоративного управління та результати їх функціонування. </w:t>
      </w:r>
    </w:p>
    <w:p w:rsidR="009A705C" w:rsidRPr="005479A8" w:rsidRDefault="009A705C" w:rsidP="009A705C">
      <w:pPr>
        <w:pStyle w:val="a6"/>
        <w:spacing w:after="0" w:line="240" w:lineRule="auto"/>
        <w:ind w:left="0" w:firstLine="403"/>
        <w:jc w:val="both"/>
        <w:rPr>
          <w:rFonts w:ascii="Times New Roman" w:hAnsi="Times New Roman"/>
          <w:sz w:val="24"/>
          <w:szCs w:val="24"/>
        </w:rPr>
      </w:pPr>
      <w:r w:rsidRPr="005479A8">
        <w:rPr>
          <w:rFonts w:ascii="Times New Roman" w:hAnsi="Times New Roman"/>
          <w:sz w:val="24"/>
          <w:szCs w:val="24"/>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9A705C" w:rsidRPr="001901CB" w:rsidRDefault="009A705C" w:rsidP="009A705C">
      <w:pPr>
        <w:pStyle w:val="a6"/>
        <w:tabs>
          <w:tab w:val="left" w:pos="426"/>
        </w:tabs>
        <w:spacing w:after="0" w:line="240" w:lineRule="auto"/>
        <w:ind w:left="0"/>
        <w:jc w:val="both"/>
        <w:rPr>
          <w:rFonts w:ascii="Times New Roman" w:hAnsi="Times New Roman"/>
          <w:sz w:val="24"/>
          <w:szCs w:val="24"/>
        </w:rPr>
      </w:pPr>
      <w:r w:rsidRPr="001901CB">
        <w:rPr>
          <w:rFonts w:ascii="Times New Roman" w:hAnsi="Times New Roman"/>
          <w:sz w:val="24"/>
          <w:szCs w:val="24"/>
        </w:rPr>
        <w:t xml:space="preserve"> </w:t>
      </w:r>
      <w:r>
        <w:rPr>
          <w:rFonts w:ascii="Times New Roman" w:hAnsi="Times New Roman"/>
          <w:sz w:val="24"/>
          <w:szCs w:val="24"/>
        </w:rPr>
        <w:tab/>
      </w:r>
      <w:r w:rsidRPr="001901CB">
        <w:rPr>
          <w:rFonts w:ascii="Times New Roman" w:hAnsi="Times New Roman"/>
          <w:sz w:val="24"/>
          <w:szCs w:val="24"/>
        </w:rPr>
        <w:t xml:space="preserve">•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 </w:t>
      </w:r>
    </w:p>
    <w:p w:rsidR="00916434" w:rsidRDefault="009A705C" w:rsidP="00C64D23">
      <w:pPr>
        <w:pStyle w:val="a6"/>
        <w:tabs>
          <w:tab w:val="left" w:pos="426"/>
        </w:tabs>
        <w:spacing w:after="0" w:line="240" w:lineRule="auto"/>
        <w:ind w:left="0" w:firstLine="426"/>
        <w:jc w:val="both"/>
        <w:rPr>
          <w:b/>
          <w:i/>
          <w:snapToGrid w:val="0"/>
        </w:rPr>
      </w:pPr>
      <w:r w:rsidRPr="001901CB">
        <w:rPr>
          <w:rFonts w:ascii="Times New Roman" w:hAnsi="Times New Roman"/>
          <w:sz w:val="24"/>
          <w:szCs w:val="24"/>
        </w:rPr>
        <w:t xml:space="preserve">• наведена у річному звіті «Інформація про стан корпоративного управління» повно та достовірно розкриває фактичний стан про склад органів корпоративного управління та результати їх функціонування. </w:t>
      </w:r>
    </w:p>
    <w:p w:rsidR="00916434" w:rsidRDefault="00916434" w:rsidP="00916434">
      <w:pPr>
        <w:pStyle w:val="Default"/>
        <w:rPr>
          <w:b/>
          <w:i/>
          <w:snapToGrid w:val="0"/>
          <w:lang w:val="uk-UA"/>
        </w:rPr>
      </w:pPr>
    </w:p>
    <w:p w:rsidR="009A705C" w:rsidRDefault="009A705C" w:rsidP="009A705C">
      <w:pPr>
        <w:pStyle w:val="Default"/>
        <w:jc w:val="center"/>
        <w:rPr>
          <w:b/>
          <w:bCs/>
          <w:i/>
          <w:iCs/>
          <w:color w:val="auto"/>
          <w:lang w:val="uk-UA"/>
        </w:rPr>
      </w:pPr>
      <w:r>
        <w:rPr>
          <w:b/>
          <w:i/>
          <w:snapToGrid w:val="0"/>
          <w:lang w:val="uk-UA"/>
        </w:rPr>
        <w:t>7.6 І</w:t>
      </w:r>
      <w:r w:rsidRPr="00785DC3">
        <w:rPr>
          <w:b/>
          <w:bCs/>
          <w:i/>
          <w:iCs/>
          <w:color w:val="auto"/>
          <w:lang w:val="uk-UA"/>
        </w:rPr>
        <w:t>дентифікації та оцінки аудитором ризиків суттєвого викривлення фінансової звітності внаслідок шахрайства</w:t>
      </w:r>
    </w:p>
    <w:p w:rsidR="009A705C" w:rsidRDefault="009A705C" w:rsidP="009A705C">
      <w:pPr>
        <w:pStyle w:val="Default"/>
        <w:jc w:val="center"/>
        <w:rPr>
          <w:b/>
          <w:bCs/>
          <w:i/>
          <w:iCs/>
          <w:color w:val="auto"/>
          <w:lang w:val="uk-UA"/>
        </w:rPr>
      </w:pPr>
    </w:p>
    <w:p w:rsidR="00F729AE" w:rsidRDefault="009A705C" w:rsidP="00D4697B">
      <w:pPr>
        <w:pStyle w:val="Default"/>
        <w:ind w:firstLine="426"/>
        <w:jc w:val="both"/>
        <w:rPr>
          <w:color w:val="auto"/>
          <w:lang w:val="uk-UA"/>
        </w:rPr>
      </w:pPr>
      <w:r w:rsidRPr="00AE126C">
        <w:rPr>
          <w:color w:val="auto"/>
          <w:lang w:val="uk-UA"/>
        </w:rPr>
        <w:t>Згідно з МСА 240 «Відповідальність аудитора, що стосується шахрайства, при аудиті фінансової звітності» під час виконання процедур оцінки ризиків і пов’язаної з ними діяльності для отримання розуміння суб’єкта господарювання та його середовища, включаючи його</w:t>
      </w:r>
    </w:p>
    <w:p w:rsidR="009A705C" w:rsidRDefault="009A705C" w:rsidP="00D4697B">
      <w:pPr>
        <w:pStyle w:val="Default"/>
        <w:jc w:val="both"/>
        <w:rPr>
          <w:color w:val="auto"/>
          <w:lang w:val="uk-UA"/>
        </w:rPr>
      </w:pPr>
      <w:r w:rsidRPr="00AE126C">
        <w:rPr>
          <w:color w:val="auto"/>
          <w:lang w:val="uk-UA"/>
        </w:rPr>
        <w:t xml:space="preserve">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ми виконали процедури, необхідні для отримання інформації, яка використовується під час ідентифікації ризиків суттєвого викривлення внаслідок шахрайства. </w:t>
      </w:r>
    </w:p>
    <w:p w:rsidR="009A705C" w:rsidRDefault="009A705C" w:rsidP="009A705C">
      <w:pPr>
        <w:pStyle w:val="Default"/>
        <w:ind w:firstLine="426"/>
        <w:jc w:val="both"/>
        <w:rPr>
          <w:color w:val="auto"/>
          <w:lang w:val="uk-UA"/>
        </w:rPr>
      </w:pPr>
      <w:r w:rsidRPr="00AE126C">
        <w:rPr>
          <w:color w:val="auto"/>
          <w:lang w:val="uk-UA"/>
        </w:rPr>
        <w:t xml:space="preserve">Нами були проведені аналітичні процедури наприкінці аудиту під час формулювання загального висновку для засвідчення того, чи узгоджується фінансова звітність із розумінням нами суб’єкта господарювання. </w:t>
      </w:r>
    </w:p>
    <w:p w:rsidR="00D4697B" w:rsidRPr="0052187D" w:rsidRDefault="009A705C" w:rsidP="0052187D">
      <w:pPr>
        <w:pStyle w:val="Default"/>
        <w:ind w:firstLine="426"/>
        <w:jc w:val="both"/>
        <w:rPr>
          <w:color w:val="auto"/>
          <w:lang w:val="uk-UA"/>
        </w:rPr>
      </w:pPr>
      <w:r w:rsidRPr="00BB0184">
        <w:rPr>
          <w:color w:val="auto"/>
          <w:lang w:val="uk-UA"/>
        </w:rPr>
        <w:t xml:space="preserve">Отримана нами інформація не свідчить про ризики суттєвого викривлення фінансової звітності Товариства внаслідок шахрайства. </w:t>
      </w:r>
    </w:p>
    <w:p w:rsidR="009A705C" w:rsidRPr="00BB0184" w:rsidRDefault="009A705C" w:rsidP="009A705C">
      <w:pPr>
        <w:jc w:val="both"/>
        <w:rPr>
          <w:lang w:val="uk-UA"/>
        </w:rPr>
      </w:pPr>
    </w:p>
    <w:p w:rsidR="009A705C" w:rsidRPr="0052187D" w:rsidRDefault="009A705C" w:rsidP="009A705C">
      <w:pPr>
        <w:ind w:firstLine="540"/>
        <w:jc w:val="center"/>
        <w:rPr>
          <w:b/>
          <w:i/>
          <w:lang w:val="uk-UA"/>
        </w:rPr>
      </w:pPr>
      <w:r>
        <w:rPr>
          <w:b/>
          <w:i/>
          <w:snapToGrid w:val="0"/>
          <w:lang w:val="uk-UA"/>
        </w:rPr>
        <w:t xml:space="preserve"> 8</w:t>
      </w:r>
      <w:r w:rsidR="0052187D">
        <w:rPr>
          <w:b/>
          <w:i/>
          <w:snapToGrid w:val="0"/>
          <w:lang w:val="uk-UA"/>
        </w:rPr>
        <w:t>.</w:t>
      </w:r>
      <w:r>
        <w:rPr>
          <w:b/>
          <w:i/>
          <w:snapToGrid w:val="0"/>
          <w:lang w:val="uk-UA"/>
        </w:rPr>
        <w:t xml:space="preserve"> </w:t>
      </w:r>
      <w:r w:rsidRPr="0052187D">
        <w:rPr>
          <w:b/>
          <w:i/>
          <w:lang w:val="uk-UA"/>
        </w:rPr>
        <w:t>Основні відомості про аудиторську фірму</w:t>
      </w:r>
    </w:p>
    <w:p w:rsidR="009A705C" w:rsidRPr="00321CFB" w:rsidRDefault="009A705C" w:rsidP="009A705C">
      <w:pPr>
        <w:rPr>
          <w:b/>
          <w:u w:val="single"/>
          <w:lang w:val="uk-UA"/>
        </w:rPr>
      </w:pPr>
    </w:p>
    <w:p w:rsidR="006E39D8" w:rsidRDefault="0011088B" w:rsidP="0011088B">
      <w:pPr>
        <w:jc w:val="both"/>
        <w:rPr>
          <w:lang w:val="uk-UA" w:eastAsia="uk-UA"/>
        </w:rPr>
      </w:pPr>
      <w:r>
        <w:rPr>
          <w:lang w:val="uk-UA" w:eastAsia="uk-UA"/>
        </w:rPr>
        <w:t xml:space="preserve">    Аудиторська фірма </w:t>
      </w:r>
      <w:r w:rsidRPr="0011088B">
        <w:rPr>
          <w:lang w:val="uk-UA" w:eastAsia="uk-UA"/>
        </w:rPr>
        <w:t xml:space="preserve">«ПОСЛУГИ  АУДИТУ» , яка  здійснює  свою  діяльність  на  підставі  свідоцтва  про внесення до Реєстру  суб'єктів аудиторської  діяльності № 3117 у відповідності до рішення  Аудиторської  Палати  України  № 118 від 26 грудня  2002 р., термін чинності Свідоцтва продовжено на підставі рішення Аудиторської Палати України від 01.11.2012 року </w:t>
      </w:r>
    </w:p>
    <w:p w:rsidR="006E39D8" w:rsidRDefault="006E39D8" w:rsidP="0011088B">
      <w:pPr>
        <w:jc w:val="both"/>
        <w:rPr>
          <w:lang w:val="uk-UA" w:eastAsia="uk-UA"/>
        </w:rPr>
      </w:pPr>
    </w:p>
    <w:p w:rsidR="006E39D8" w:rsidRDefault="006E39D8" w:rsidP="0011088B">
      <w:pPr>
        <w:jc w:val="both"/>
        <w:rPr>
          <w:lang w:val="uk-UA" w:eastAsia="uk-UA"/>
        </w:rPr>
      </w:pPr>
    </w:p>
    <w:p w:rsidR="006E39D8" w:rsidRDefault="006E39D8" w:rsidP="0011088B">
      <w:pPr>
        <w:jc w:val="both"/>
        <w:rPr>
          <w:lang w:val="uk-UA" w:eastAsia="uk-UA"/>
        </w:rPr>
      </w:pPr>
    </w:p>
    <w:p w:rsidR="003B02B4" w:rsidRDefault="0011088B" w:rsidP="0011088B">
      <w:pPr>
        <w:jc w:val="both"/>
        <w:rPr>
          <w:rFonts w:ascii="Peterburg" w:hAnsi="Peterburg"/>
          <w:b/>
          <w:bCs/>
          <w:i/>
          <w:lang w:val="uk-UA"/>
        </w:rPr>
      </w:pPr>
      <w:r w:rsidRPr="0011088B">
        <w:rPr>
          <w:lang w:val="uk-UA" w:eastAsia="uk-UA"/>
        </w:rPr>
        <w:t>№260/3 до 01.11.2017 року., Свідоцтва про відповідність системи контролю якості, видане на підставі рішення АПУ від 19.12.2013 року № 286/4. Код ЄДРПОУ – 32258060.</w:t>
      </w:r>
    </w:p>
    <w:p w:rsidR="005B750E" w:rsidRDefault="005B750E" w:rsidP="009A705C">
      <w:pPr>
        <w:jc w:val="center"/>
        <w:rPr>
          <w:rFonts w:ascii="Peterburg" w:hAnsi="Peterburg"/>
          <w:b/>
          <w:bCs/>
          <w:i/>
          <w:lang w:val="uk-UA"/>
        </w:rPr>
      </w:pPr>
    </w:p>
    <w:p w:rsidR="005B750E" w:rsidRDefault="005B750E" w:rsidP="009A705C">
      <w:pPr>
        <w:jc w:val="center"/>
        <w:rPr>
          <w:rFonts w:ascii="Peterburg" w:hAnsi="Peterburg"/>
          <w:b/>
          <w:bCs/>
          <w:i/>
          <w:lang w:val="uk-UA"/>
        </w:rPr>
      </w:pPr>
    </w:p>
    <w:p w:rsidR="009A705C" w:rsidRPr="00DE1DD5" w:rsidRDefault="009A705C" w:rsidP="00DE1DD5">
      <w:pPr>
        <w:jc w:val="center"/>
        <w:rPr>
          <w:rFonts w:ascii="Peterburg" w:hAnsi="Peterburg"/>
          <w:b/>
          <w:bCs/>
          <w:i/>
          <w:snapToGrid w:val="0"/>
          <w:lang w:val="uk-UA"/>
        </w:rPr>
      </w:pPr>
      <w:r w:rsidRPr="004A4D50">
        <w:rPr>
          <w:rFonts w:ascii="Peterburg" w:hAnsi="Peterburg"/>
          <w:b/>
          <w:bCs/>
          <w:i/>
          <w:lang w:val="uk-UA"/>
        </w:rPr>
        <w:t>Основні відомості про умови договору про проведення аудиту</w:t>
      </w:r>
      <w:r w:rsidRPr="004A4D50">
        <w:rPr>
          <w:rFonts w:ascii="Peterburg" w:hAnsi="Peterburg"/>
          <w:b/>
          <w:bCs/>
          <w:i/>
          <w:snapToGrid w:val="0"/>
          <w:lang w:val="uk-UA"/>
        </w:rPr>
        <w:t>:</w:t>
      </w:r>
    </w:p>
    <w:p w:rsidR="006E39D8" w:rsidRDefault="006E39D8" w:rsidP="009A705C">
      <w:pPr>
        <w:rPr>
          <w:rFonts w:ascii="Peterburg" w:hAnsi="Peterburg"/>
          <w:bCs/>
          <w:i/>
          <w:snapToGrid w:val="0"/>
          <w:u w:val="single"/>
          <w:lang w:val="uk-UA"/>
        </w:rPr>
      </w:pPr>
    </w:p>
    <w:p w:rsidR="006E39D8" w:rsidRDefault="006E39D8" w:rsidP="009A705C">
      <w:pPr>
        <w:rPr>
          <w:rFonts w:ascii="Peterburg" w:hAnsi="Peterburg"/>
          <w:bCs/>
          <w:i/>
          <w:snapToGrid w:val="0"/>
          <w:u w:val="single"/>
          <w:lang w:val="uk-UA"/>
        </w:rPr>
      </w:pPr>
    </w:p>
    <w:tbl>
      <w:tblPr>
        <w:tblW w:w="9900" w:type="dxa"/>
        <w:tblInd w:w="-72" w:type="dxa"/>
        <w:tblLook w:val="01E0"/>
      </w:tblPr>
      <w:tblGrid>
        <w:gridCol w:w="4320"/>
        <w:gridCol w:w="5580"/>
      </w:tblGrid>
      <w:tr w:rsidR="009A705C" w:rsidRPr="006E39D8" w:rsidTr="000C4DFA">
        <w:trPr>
          <w:trHeight w:val="418"/>
        </w:trPr>
        <w:tc>
          <w:tcPr>
            <w:tcW w:w="4320" w:type="dxa"/>
            <w:shd w:val="clear" w:color="auto" w:fill="auto"/>
          </w:tcPr>
          <w:p w:rsidR="009A705C" w:rsidRPr="006E39D8" w:rsidRDefault="009A705C" w:rsidP="000C4DFA">
            <w:pPr>
              <w:rPr>
                <w:b/>
                <w:lang w:val="uk-UA"/>
              </w:rPr>
            </w:pPr>
            <w:r w:rsidRPr="006E39D8">
              <w:rPr>
                <w:b/>
                <w:sz w:val="22"/>
                <w:szCs w:val="22"/>
                <w:lang w:val="uk-UA"/>
              </w:rPr>
              <w:t>Дата и номер договору на проведення аудиту</w:t>
            </w:r>
          </w:p>
        </w:tc>
        <w:tc>
          <w:tcPr>
            <w:tcW w:w="5580" w:type="dxa"/>
            <w:shd w:val="clear" w:color="auto" w:fill="auto"/>
          </w:tcPr>
          <w:p w:rsidR="009A705C" w:rsidRPr="006E39D8" w:rsidRDefault="009A705C" w:rsidP="006E39D8">
            <w:pPr>
              <w:jc w:val="right"/>
              <w:rPr>
                <w:lang w:val="uk-UA"/>
              </w:rPr>
            </w:pPr>
            <w:r w:rsidRPr="006E39D8">
              <w:rPr>
                <w:sz w:val="22"/>
                <w:szCs w:val="22"/>
                <w:lang w:val="uk-UA"/>
              </w:rPr>
              <w:t>Договір № 0</w:t>
            </w:r>
            <w:r w:rsidR="006E39D8" w:rsidRPr="006E39D8">
              <w:rPr>
                <w:sz w:val="22"/>
                <w:szCs w:val="22"/>
                <w:lang w:val="uk-UA"/>
              </w:rPr>
              <w:t>4</w:t>
            </w:r>
            <w:r w:rsidR="0071722B" w:rsidRPr="006E39D8">
              <w:rPr>
                <w:sz w:val="22"/>
                <w:szCs w:val="22"/>
                <w:lang w:val="uk-UA"/>
              </w:rPr>
              <w:t>/0</w:t>
            </w:r>
            <w:r w:rsidR="006E39D8" w:rsidRPr="006E39D8">
              <w:rPr>
                <w:sz w:val="22"/>
                <w:szCs w:val="22"/>
                <w:lang w:val="uk-UA"/>
              </w:rPr>
              <w:t>7</w:t>
            </w:r>
            <w:r w:rsidR="0071722B" w:rsidRPr="006E39D8">
              <w:rPr>
                <w:sz w:val="22"/>
                <w:szCs w:val="22"/>
                <w:lang w:val="uk-UA"/>
              </w:rPr>
              <w:t>-</w:t>
            </w:r>
            <w:r w:rsidRPr="006E39D8">
              <w:rPr>
                <w:sz w:val="22"/>
                <w:szCs w:val="22"/>
                <w:lang w:val="uk-UA"/>
              </w:rPr>
              <w:t>201</w:t>
            </w:r>
            <w:r w:rsidR="0011088B" w:rsidRPr="006E39D8">
              <w:rPr>
                <w:sz w:val="22"/>
                <w:szCs w:val="22"/>
                <w:lang w:val="uk-UA"/>
              </w:rPr>
              <w:t>7</w:t>
            </w:r>
            <w:r w:rsidRPr="006E39D8">
              <w:rPr>
                <w:sz w:val="22"/>
                <w:szCs w:val="22"/>
                <w:lang w:val="uk-UA"/>
              </w:rPr>
              <w:t xml:space="preserve">  вiд «</w:t>
            </w:r>
            <w:r w:rsidR="006E39D8" w:rsidRPr="006E39D8">
              <w:rPr>
                <w:sz w:val="22"/>
                <w:szCs w:val="22"/>
                <w:lang w:val="uk-UA"/>
              </w:rPr>
              <w:t>03</w:t>
            </w:r>
            <w:r w:rsidRPr="006E39D8">
              <w:rPr>
                <w:sz w:val="22"/>
                <w:szCs w:val="22"/>
                <w:lang w:val="uk-UA"/>
              </w:rPr>
              <w:t>»</w:t>
            </w:r>
            <w:r w:rsidR="00BB0184" w:rsidRPr="006E39D8">
              <w:rPr>
                <w:sz w:val="22"/>
                <w:szCs w:val="22"/>
                <w:lang w:val="uk-UA"/>
              </w:rPr>
              <w:t xml:space="preserve"> </w:t>
            </w:r>
            <w:r w:rsidR="006E39D8" w:rsidRPr="006E39D8">
              <w:rPr>
                <w:sz w:val="22"/>
                <w:szCs w:val="22"/>
                <w:lang w:val="uk-UA"/>
              </w:rPr>
              <w:t>лютого</w:t>
            </w:r>
            <w:r w:rsidR="0018441A" w:rsidRPr="006E39D8">
              <w:rPr>
                <w:sz w:val="22"/>
                <w:szCs w:val="22"/>
                <w:lang w:val="uk-UA"/>
              </w:rPr>
              <w:t xml:space="preserve"> </w:t>
            </w:r>
            <w:r w:rsidRPr="006E39D8">
              <w:rPr>
                <w:sz w:val="22"/>
                <w:szCs w:val="22"/>
                <w:lang w:val="uk-UA"/>
              </w:rPr>
              <w:t xml:space="preserve"> 201</w:t>
            </w:r>
            <w:r w:rsidR="0011088B" w:rsidRPr="006E39D8">
              <w:rPr>
                <w:sz w:val="22"/>
                <w:szCs w:val="22"/>
                <w:lang w:val="uk-UA"/>
              </w:rPr>
              <w:t>7</w:t>
            </w:r>
            <w:r w:rsidRPr="006E39D8">
              <w:rPr>
                <w:sz w:val="22"/>
                <w:szCs w:val="22"/>
                <w:lang w:val="uk-UA"/>
              </w:rPr>
              <w:t xml:space="preserve"> р.</w:t>
            </w:r>
          </w:p>
        </w:tc>
      </w:tr>
      <w:tr w:rsidR="009A705C" w:rsidRPr="006E39D8" w:rsidTr="009D78E4">
        <w:trPr>
          <w:trHeight w:val="741"/>
        </w:trPr>
        <w:tc>
          <w:tcPr>
            <w:tcW w:w="4320" w:type="dxa"/>
            <w:shd w:val="clear" w:color="auto" w:fill="auto"/>
          </w:tcPr>
          <w:p w:rsidR="009A705C" w:rsidRPr="006E39D8" w:rsidRDefault="009A705C" w:rsidP="000C4DFA">
            <w:pPr>
              <w:rPr>
                <w:b/>
                <w:lang w:val="uk-UA"/>
              </w:rPr>
            </w:pPr>
            <w:r w:rsidRPr="006E39D8">
              <w:rPr>
                <w:b/>
                <w:sz w:val="22"/>
                <w:szCs w:val="22"/>
                <w:lang w:val="uk-UA"/>
              </w:rPr>
              <w:t xml:space="preserve">Дата початку i дата закінчення проведення аудиту            </w:t>
            </w:r>
          </w:p>
        </w:tc>
        <w:tc>
          <w:tcPr>
            <w:tcW w:w="5580" w:type="dxa"/>
            <w:shd w:val="clear" w:color="auto" w:fill="auto"/>
          </w:tcPr>
          <w:p w:rsidR="009A705C" w:rsidRPr="006E39D8" w:rsidRDefault="009A705C" w:rsidP="006E39D8">
            <w:pPr>
              <w:jc w:val="right"/>
              <w:rPr>
                <w:lang w:val="uk-UA"/>
              </w:rPr>
            </w:pPr>
            <w:r w:rsidRPr="006E39D8">
              <w:rPr>
                <w:sz w:val="22"/>
                <w:szCs w:val="22"/>
                <w:lang w:val="uk-UA"/>
              </w:rPr>
              <w:t>«</w:t>
            </w:r>
            <w:r w:rsidR="006E39D8" w:rsidRPr="006E39D8">
              <w:rPr>
                <w:sz w:val="22"/>
                <w:szCs w:val="22"/>
                <w:lang w:val="uk-UA"/>
              </w:rPr>
              <w:t>03</w:t>
            </w:r>
            <w:r w:rsidRPr="006E39D8">
              <w:rPr>
                <w:sz w:val="22"/>
                <w:szCs w:val="22"/>
                <w:lang w:val="uk-UA"/>
              </w:rPr>
              <w:t>»</w:t>
            </w:r>
            <w:r w:rsidR="0018441A" w:rsidRPr="006E39D8">
              <w:rPr>
                <w:sz w:val="22"/>
                <w:szCs w:val="22"/>
                <w:lang w:val="uk-UA"/>
              </w:rPr>
              <w:t xml:space="preserve"> </w:t>
            </w:r>
            <w:r w:rsidR="006E39D8" w:rsidRPr="006E39D8">
              <w:rPr>
                <w:sz w:val="22"/>
                <w:szCs w:val="22"/>
                <w:lang w:val="uk-UA"/>
              </w:rPr>
              <w:t>лютого</w:t>
            </w:r>
            <w:r w:rsidRPr="006E39D8">
              <w:rPr>
                <w:sz w:val="22"/>
                <w:szCs w:val="22"/>
                <w:lang w:val="uk-UA"/>
              </w:rPr>
              <w:t xml:space="preserve">  201</w:t>
            </w:r>
            <w:r w:rsidR="0011088B" w:rsidRPr="006E39D8">
              <w:rPr>
                <w:sz w:val="22"/>
                <w:szCs w:val="22"/>
                <w:lang w:val="uk-UA"/>
              </w:rPr>
              <w:t>7</w:t>
            </w:r>
            <w:r w:rsidRPr="006E39D8">
              <w:rPr>
                <w:sz w:val="22"/>
                <w:szCs w:val="22"/>
                <w:lang w:val="uk-UA"/>
              </w:rPr>
              <w:t xml:space="preserve"> р. – «</w:t>
            </w:r>
            <w:r w:rsidR="006E39D8" w:rsidRPr="006E39D8">
              <w:rPr>
                <w:sz w:val="22"/>
                <w:szCs w:val="22"/>
                <w:lang w:val="uk-UA"/>
              </w:rPr>
              <w:t>0</w:t>
            </w:r>
            <w:r w:rsidR="0018441A" w:rsidRPr="006E39D8">
              <w:rPr>
                <w:sz w:val="22"/>
                <w:szCs w:val="22"/>
                <w:lang w:val="uk-UA"/>
              </w:rPr>
              <w:t>9</w:t>
            </w:r>
            <w:r w:rsidRPr="006E39D8">
              <w:rPr>
                <w:sz w:val="22"/>
                <w:szCs w:val="22"/>
                <w:lang w:val="uk-UA"/>
              </w:rPr>
              <w:t>»</w:t>
            </w:r>
            <w:r w:rsidR="0018441A" w:rsidRPr="006E39D8">
              <w:rPr>
                <w:sz w:val="22"/>
                <w:szCs w:val="22"/>
                <w:lang w:val="uk-UA"/>
              </w:rPr>
              <w:t xml:space="preserve"> </w:t>
            </w:r>
            <w:r w:rsidR="006E39D8" w:rsidRPr="006E39D8">
              <w:rPr>
                <w:sz w:val="22"/>
                <w:szCs w:val="22"/>
                <w:lang w:val="uk-UA"/>
              </w:rPr>
              <w:t>лютого</w:t>
            </w:r>
            <w:r w:rsidR="0011088B" w:rsidRPr="006E39D8">
              <w:rPr>
                <w:sz w:val="22"/>
                <w:szCs w:val="22"/>
                <w:lang w:val="uk-UA"/>
              </w:rPr>
              <w:t xml:space="preserve"> </w:t>
            </w:r>
            <w:r w:rsidRPr="006E39D8">
              <w:rPr>
                <w:sz w:val="22"/>
                <w:szCs w:val="22"/>
                <w:lang w:val="uk-UA"/>
              </w:rPr>
              <w:t xml:space="preserve"> 201</w:t>
            </w:r>
            <w:r w:rsidR="0011088B" w:rsidRPr="006E39D8">
              <w:rPr>
                <w:sz w:val="22"/>
                <w:szCs w:val="22"/>
                <w:lang w:val="uk-UA"/>
              </w:rPr>
              <w:t>7</w:t>
            </w:r>
            <w:r w:rsidRPr="006E39D8">
              <w:rPr>
                <w:sz w:val="22"/>
                <w:szCs w:val="22"/>
                <w:lang w:val="uk-UA"/>
              </w:rPr>
              <w:t xml:space="preserve"> р.</w:t>
            </w:r>
          </w:p>
        </w:tc>
      </w:tr>
    </w:tbl>
    <w:p w:rsidR="009A705C" w:rsidRPr="006E39D8" w:rsidRDefault="009A705C" w:rsidP="009A705C">
      <w:pPr>
        <w:shd w:val="clear" w:color="auto" w:fill="FFFFFF"/>
        <w:rPr>
          <w:sz w:val="23"/>
          <w:szCs w:val="23"/>
          <w:lang w:val="uk-UA"/>
        </w:rPr>
      </w:pPr>
    </w:p>
    <w:p w:rsidR="009A705C" w:rsidRPr="006E39D8" w:rsidRDefault="009A705C" w:rsidP="009A705C">
      <w:pPr>
        <w:shd w:val="clear" w:color="auto" w:fill="FFFFFF"/>
        <w:rPr>
          <w:sz w:val="23"/>
          <w:szCs w:val="23"/>
          <w:lang w:val="uk-UA"/>
        </w:rPr>
      </w:pPr>
    </w:p>
    <w:p w:rsidR="001D0E84" w:rsidRPr="006E39D8" w:rsidRDefault="001D0E84" w:rsidP="009A705C">
      <w:pPr>
        <w:shd w:val="clear" w:color="auto" w:fill="FFFFFF"/>
        <w:rPr>
          <w:sz w:val="23"/>
          <w:szCs w:val="23"/>
          <w:lang w:val="uk-UA"/>
        </w:rPr>
      </w:pPr>
    </w:p>
    <w:p w:rsidR="001D0E84" w:rsidRPr="006E39D8" w:rsidRDefault="001D0E84" w:rsidP="009A705C">
      <w:pPr>
        <w:shd w:val="clear" w:color="auto" w:fill="FFFFFF"/>
        <w:rPr>
          <w:sz w:val="23"/>
          <w:szCs w:val="23"/>
          <w:lang w:val="uk-UA"/>
        </w:rPr>
      </w:pPr>
    </w:p>
    <w:tbl>
      <w:tblPr>
        <w:tblW w:w="9648" w:type="dxa"/>
        <w:tblLook w:val="01E0"/>
      </w:tblPr>
      <w:tblGrid>
        <w:gridCol w:w="4248"/>
        <w:gridCol w:w="2880"/>
        <w:gridCol w:w="2520"/>
      </w:tblGrid>
      <w:tr w:rsidR="009A705C" w:rsidRPr="006E39D8" w:rsidTr="000C4DFA">
        <w:tc>
          <w:tcPr>
            <w:tcW w:w="4248" w:type="dxa"/>
            <w:shd w:val="clear" w:color="auto" w:fill="auto"/>
          </w:tcPr>
          <w:p w:rsidR="0011088B" w:rsidRPr="006E39D8" w:rsidRDefault="0011088B" w:rsidP="0011088B">
            <w:pPr>
              <w:rPr>
                <w:lang w:val="uk-UA"/>
              </w:rPr>
            </w:pPr>
            <w:r w:rsidRPr="006E39D8">
              <w:rPr>
                <w:lang w:val="uk-UA"/>
              </w:rPr>
              <w:t xml:space="preserve">        Директор – аудитор </w:t>
            </w:r>
          </w:p>
          <w:p w:rsidR="0011088B" w:rsidRPr="006E39D8" w:rsidRDefault="0011088B" w:rsidP="0011088B">
            <w:pPr>
              <w:rPr>
                <w:lang w:val="uk-UA"/>
              </w:rPr>
            </w:pPr>
            <w:r w:rsidRPr="006E39D8">
              <w:rPr>
                <w:lang w:val="uk-UA"/>
              </w:rPr>
              <w:t xml:space="preserve">        АФ «ПОСЛУГИ АУДИТУ»</w:t>
            </w:r>
          </w:p>
          <w:p w:rsidR="009A705C" w:rsidRPr="006E39D8" w:rsidRDefault="0011088B" w:rsidP="0011088B">
            <w:pPr>
              <w:rPr>
                <w:sz w:val="23"/>
                <w:szCs w:val="23"/>
                <w:lang w:val="uk-UA"/>
              </w:rPr>
            </w:pPr>
            <w:r w:rsidRPr="006E39D8">
              <w:rPr>
                <w:iCs/>
                <w:lang w:val="uk-UA"/>
              </w:rPr>
              <w:t xml:space="preserve">  </w:t>
            </w:r>
            <w:r w:rsidRPr="006E39D8">
              <w:rPr>
                <w:lang w:val="uk-UA"/>
              </w:rPr>
              <w:t xml:space="preserve">      Сертифікат  А  № 004491                                                                         </w:t>
            </w:r>
          </w:p>
        </w:tc>
        <w:tc>
          <w:tcPr>
            <w:tcW w:w="2880" w:type="dxa"/>
            <w:shd w:val="clear" w:color="auto" w:fill="auto"/>
          </w:tcPr>
          <w:p w:rsidR="009A705C" w:rsidRPr="006E39D8" w:rsidRDefault="009A705C" w:rsidP="000C4DFA">
            <w:pPr>
              <w:jc w:val="center"/>
              <w:rPr>
                <w:sz w:val="23"/>
                <w:szCs w:val="23"/>
                <w:lang w:val="uk-UA"/>
              </w:rPr>
            </w:pPr>
          </w:p>
          <w:p w:rsidR="009A705C" w:rsidRPr="006E39D8" w:rsidRDefault="009A705C" w:rsidP="000C4DFA">
            <w:pPr>
              <w:jc w:val="center"/>
              <w:rPr>
                <w:sz w:val="23"/>
                <w:szCs w:val="23"/>
                <w:lang w:val="uk-UA"/>
              </w:rPr>
            </w:pPr>
          </w:p>
          <w:p w:rsidR="009A705C" w:rsidRPr="006E39D8" w:rsidRDefault="009A705C" w:rsidP="000C4DFA">
            <w:pPr>
              <w:jc w:val="center"/>
              <w:rPr>
                <w:sz w:val="23"/>
                <w:szCs w:val="23"/>
                <w:lang w:val="uk-UA"/>
              </w:rPr>
            </w:pPr>
            <w:r w:rsidRPr="006E39D8">
              <w:rPr>
                <w:sz w:val="23"/>
                <w:szCs w:val="23"/>
                <w:lang w:val="uk-UA"/>
              </w:rPr>
              <w:t>_______________________</w:t>
            </w:r>
          </w:p>
        </w:tc>
        <w:tc>
          <w:tcPr>
            <w:tcW w:w="2520" w:type="dxa"/>
            <w:shd w:val="clear" w:color="auto" w:fill="auto"/>
          </w:tcPr>
          <w:p w:rsidR="009A705C" w:rsidRPr="006E39D8" w:rsidRDefault="009A705C" w:rsidP="000C4DFA">
            <w:pPr>
              <w:shd w:val="clear" w:color="auto" w:fill="FFFFFF"/>
              <w:rPr>
                <w:sz w:val="23"/>
                <w:szCs w:val="23"/>
                <w:lang w:val="uk-UA"/>
              </w:rPr>
            </w:pPr>
          </w:p>
          <w:p w:rsidR="009A705C" w:rsidRPr="006E39D8" w:rsidRDefault="009A705C" w:rsidP="000C4DFA">
            <w:pPr>
              <w:jc w:val="center"/>
              <w:rPr>
                <w:sz w:val="23"/>
                <w:szCs w:val="23"/>
                <w:lang w:val="uk-UA"/>
              </w:rPr>
            </w:pPr>
          </w:p>
          <w:p w:rsidR="009A705C" w:rsidRPr="006E39D8" w:rsidRDefault="0011088B" w:rsidP="000C4DFA">
            <w:pPr>
              <w:rPr>
                <w:sz w:val="23"/>
                <w:szCs w:val="23"/>
                <w:lang w:val="uk-UA"/>
              </w:rPr>
            </w:pPr>
            <w:r w:rsidRPr="006E39D8">
              <w:rPr>
                <w:sz w:val="23"/>
                <w:szCs w:val="23"/>
                <w:lang w:val="uk-UA"/>
              </w:rPr>
              <w:t>О.І. Ляшенко</w:t>
            </w:r>
          </w:p>
          <w:p w:rsidR="00B7083F" w:rsidRPr="006E39D8" w:rsidRDefault="00B7083F" w:rsidP="000C4DFA">
            <w:pPr>
              <w:rPr>
                <w:sz w:val="23"/>
                <w:szCs w:val="23"/>
                <w:lang w:val="uk-UA"/>
              </w:rPr>
            </w:pPr>
          </w:p>
          <w:p w:rsidR="00B7083F" w:rsidRPr="006E39D8" w:rsidRDefault="00B7083F" w:rsidP="000C4DFA">
            <w:pPr>
              <w:rPr>
                <w:sz w:val="23"/>
                <w:szCs w:val="23"/>
                <w:lang w:val="uk-UA"/>
              </w:rPr>
            </w:pPr>
          </w:p>
          <w:p w:rsidR="00B7083F" w:rsidRPr="006E39D8" w:rsidRDefault="00B7083F" w:rsidP="000C4DFA">
            <w:pPr>
              <w:rPr>
                <w:sz w:val="23"/>
                <w:szCs w:val="23"/>
                <w:lang w:val="uk-UA"/>
              </w:rPr>
            </w:pPr>
          </w:p>
          <w:p w:rsidR="00B7083F" w:rsidRPr="006E39D8" w:rsidRDefault="00B7083F" w:rsidP="000C4DFA">
            <w:pPr>
              <w:rPr>
                <w:sz w:val="23"/>
                <w:szCs w:val="23"/>
                <w:lang w:val="uk-UA"/>
              </w:rPr>
            </w:pPr>
          </w:p>
        </w:tc>
      </w:tr>
      <w:tr w:rsidR="009A705C" w:rsidRPr="006E39D8" w:rsidTr="000C4DFA">
        <w:tc>
          <w:tcPr>
            <w:tcW w:w="4248" w:type="dxa"/>
            <w:shd w:val="clear" w:color="auto" w:fill="auto"/>
          </w:tcPr>
          <w:p w:rsidR="009A705C" w:rsidRPr="006E39D8" w:rsidRDefault="009A705C" w:rsidP="000C4DFA">
            <w:pPr>
              <w:shd w:val="clear" w:color="auto" w:fill="FFFFFF"/>
              <w:rPr>
                <w:sz w:val="23"/>
                <w:szCs w:val="23"/>
                <w:lang w:val="uk-UA"/>
              </w:rPr>
            </w:pPr>
          </w:p>
        </w:tc>
        <w:tc>
          <w:tcPr>
            <w:tcW w:w="2880" w:type="dxa"/>
            <w:shd w:val="clear" w:color="auto" w:fill="auto"/>
          </w:tcPr>
          <w:p w:rsidR="009A705C" w:rsidRPr="006E39D8" w:rsidRDefault="009A705C" w:rsidP="000C4DFA">
            <w:pPr>
              <w:jc w:val="center"/>
              <w:rPr>
                <w:sz w:val="23"/>
                <w:szCs w:val="23"/>
                <w:lang w:val="uk-UA"/>
              </w:rPr>
            </w:pPr>
          </w:p>
        </w:tc>
        <w:tc>
          <w:tcPr>
            <w:tcW w:w="2520" w:type="dxa"/>
            <w:shd w:val="clear" w:color="auto" w:fill="auto"/>
          </w:tcPr>
          <w:p w:rsidR="009A705C" w:rsidRPr="006E39D8" w:rsidRDefault="009A705C" w:rsidP="000C4DFA">
            <w:pPr>
              <w:shd w:val="clear" w:color="auto" w:fill="FFFFFF"/>
              <w:jc w:val="center"/>
              <w:rPr>
                <w:sz w:val="23"/>
                <w:szCs w:val="23"/>
                <w:lang w:val="uk-UA"/>
              </w:rPr>
            </w:pPr>
          </w:p>
        </w:tc>
      </w:tr>
    </w:tbl>
    <w:p w:rsidR="009A705C" w:rsidRPr="006E39D8" w:rsidRDefault="009A705C" w:rsidP="009A705C">
      <w:pPr>
        <w:jc w:val="center"/>
        <w:rPr>
          <w:bCs/>
          <w:iCs/>
          <w:lang w:val="uk-UA"/>
        </w:rPr>
      </w:pPr>
      <w:r w:rsidRPr="006E39D8">
        <w:rPr>
          <w:bCs/>
          <w:iCs/>
          <w:lang w:val="uk-UA"/>
        </w:rPr>
        <w:t>Аудиторський висновок складено «</w:t>
      </w:r>
      <w:r w:rsidR="006E39D8" w:rsidRPr="006E39D8">
        <w:rPr>
          <w:bCs/>
          <w:iCs/>
          <w:lang w:val="uk-UA"/>
        </w:rPr>
        <w:t>0</w:t>
      </w:r>
      <w:r w:rsidR="0018441A" w:rsidRPr="006E39D8">
        <w:rPr>
          <w:bCs/>
          <w:iCs/>
          <w:lang w:val="uk-UA"/>
        </w:rPr>
        <w:t>9</w:t>
      </w:r>
      <w:r w:rsidRPr="006E39D8">
        <w:rPr>
          <w:bCs/>
          <w:iCs/>
          <w:lang w:val="uk-UA"/>
        </w:rPr>
        <w:t xml:space="preserve">» </w:t>
      </w:r>
      <w:r w:rsidR="0018441A" w:rsidRPr="006E39D8">
        <w:rPr>
          <w:bCs/>
          <w:iCs/>
          <w:lang w:val="uk-UA"/>
        </w:rPr>
        <w:t xml:space="preserve"> </w:t>
      </w:r>
      <w:r w:rsidR="006E39D8" w:rsidRPr="006E39D8">
        <w:rPr>
          <w:bCs/>
          <w:iCs/>
          <w:lang w:val="uk-UA"/>
        </w:rPr>
        <w:t>лютого</w:t>
      </w:r>
      <w:r w:rsidRPr="006E39D8">
        <w:rPr>
          <w:bCs/>
          <w:iCs/>
          <w:lang w:val="uk-UA"/>
        </w:rPr>
        <w:t xml:space="preserve"> 201</w:t>
      </w:r>
      <w:r w:rsidR="0011088B" w:rsidRPr="006E39D8">
        <w:rPr>
          <w:bCs/>
          <w:iCs/>
          <w:lang w:val="uk-UA"/>
        </w:rPr>
        <w:t>7</w:t>
      </w:r>
      <w:r w:rsidRPr="006E39D8">
        <w:rPr>
          <w:bCs/>
          <w:iCs/>
          <w:lang w:val="uk-UA"/>
        </w:rPr>
        <w:t xml:space="preserve"> року</w:t>
      </w:r>
    </w:p>
    <w:p w:rsidR="00D3488F" w:rsidRPr="006E39D8" w:rsidRDefault="00D3488F">
      <w:pPr>
        <w:rPr>
          <w:lang w:val="uk-UA"/>
        </w:rPr>
      </w:pPr>
    </w:p>
    <w:sectPr w:rsidR="00D3488F" w:rsidRPr="006E39D8" w:rsidSect="004232C7">
      <w:footerReference w:type="even" r:id="rId7"/>
      <w:footerReference w:type="default" r:id="rId8"/>
      <w:pgSz w:w="11906" w:h="16838"/>
      <w:pgMar w:top="397" w:right="851" w:bottom="39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CCB" w:rsidRDefault="00B20CCB">
      <w:r>
        <w:separator/>
      </w:r>
    </w:p>
  </w:endnote>
  <w:endnote w:type="continuationSeparator" w:id="0">
    <w:p w:rsidR="00B20CCB" w:rsidRDefault="00B20C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FB" w:rsidRDefault="00F47219" w:rsidP="00282AF7">
    <w:pPr>
      <w:pStyle w:val="a3"/>
      <w:framePr w:wrap="around" w:vAnchor="text" w:hAnchor="margin" w:xAlign="right" w:y="1"/>
      <w:rPr>
        <w:rStyle w:val="a5"/>
      </w:rPr>
    </w:pPr>
    <w:r>
      <w:rPr>
        <w:rStyle w:val="a5"/>
      </w:rPr>
      <w:fldChar w:fldCharType="begin"/>
    </w:r>
    <w:r w:rsidR="003B02B4">
      <w:rPr>
        <w:rStyle w:val="a5"/>
      </w:rPr>
      <w:instrText xml:space="preserve">PAGE  </w:instrText>
    </w:r>
    <w:r>
      <w:rPr>
        <w:rStyle w:val="a5"/>
      </w:rPr>
      <w:fldChar w:fldCharType="end"/>
    </w:r>
  </w:p>
  <w:p w:rsidR="00B448FB" w:rsidRDefault="00B20CCB" w:rsidP="00FD4DD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FB" w:rsidRDefault="00F47219" w:rsidP="00282AF7">
    <w:pPr>
      <w:pStyle w:val="a3"/>
      <w:framePr w:wrap="around" w:vAnchor="text" w:hAnchor="margin" w:xAlign="right" w:y="1"/>
      <w:rPr>
        <w:rStyle w:val="a5"/>
      </w:rPr>
    </w:pPr>
    <w:r>
      <w:rPr>
        <w:rStyle w:val="a5"/>
      </w:rPr>
      <w:fldChar w:fldCharType="begin"/>
    </w:r>
    <w:r w:rsidR="003B02B4">
      <w:rPr>
        <w:rStyle w:val="a5"/>
      </w:rPr>
      <w:instrText xml:space="preserve">PAGE  </w:instrText>
    </w:r>
    <w:r>
      <w:rPr>
        <w:rStyle w:val="a5"/>
      </w:rPr>
      <w:fldChar w:fldCharType="separate"/>
    </w:r>
    <w:r w:rsidR="00DE1DD5">
      <w:rPr>
        <w:rStyle w:val="a5"/>
        <w:noProof/>
      </w:rPr>
      <w:t>8</w:t>
    </w:r>
    <w:r>
      <w:rPr>
        <w:rStyle w:val="a5"/>
      </w:rPr>
      <w:fldChar w:fldCharType="end"/>
    </w:r>
  </w:p>
  <w:p w:rsidR="00B448FB" w:rsidRPr="009F5473" w:rsidRDefault="00B20CCB" w:rsidP="00FD4DD5">
    <w:pPr>
      <w:pStyle w:val="a3"/>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CCB" w:rsidRDefault="00B20CCB">
      <w:r>
        <w:separator/>
      </w:r>
    </w:p>
  </w:footnote>
  <w:footnote w:type="continuationSeparator" w:id="0">
    <w:p w:rsidR="00B20CCB" w:rsidRDefault="00B20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A96"/>
    <w:multiLevelType w:val="hybridMultilevel"/>
    <w:tmpl w:val="CF48A5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8296D"/>
    <w:rsid w:val="00003ECE"/>
    <w:rsid w:val="000040F9"/>
    <w:rsid w:val="00023B4E"/>
    <w:rsid w:val="00030856"/>
    <w:rsid w:val="00036B87"/>
    <w:rsid w:val="0005226D"/>
    <w:rsid w:val="00072F85"/>
    <w:rsid w:val="0009023B"/>
    <w:rsid w:val="00092BDA"/>
    <w:rsid w:val="00093B69"/>
    <w:rsid w:val="000A3628"/>
    <w:rsid w:val="000B37AE"/>
    <w:rsid w:val="000B7B04"/>
    <w:rsid w:val="000C2F37"/>
    <w:rsid w:val="000C5834"/>
    <w:rsid w:val="000C7CB1"/>
    <w:rsid w:val="000D0B97"/>
    <w:rsid w:val="000D4836"/>
    <w:rsid w:val="0011088B"/>
    <w:rsid w:val="001178A2"/>
    <w:rsid w:val="00135F32"/>
    <w:rsid w:val="0014239B"/>
    <w:rsid w:val="00147A45"/>
    <w:rsid w:val="0018091F"/>
    <w:rsid w:val="0018441A"/>
    <w:rsid w:val="001D05A4"/>
    <w:rsid w:val="001D0E84"/>
    <w:rsid w:val="001D5C6A"/>
    <w:rsid w:val="001E6D2C"/>
    <w:rsid w:val="001F2E7C"/>
    <w:rsid w:val="001F67FF"/>
    <w:rsid w:val="00233401"/>
    <w:rsid w:val="002406AE"/>
    <w:rsid w:val="00255E5F"/>
    <w:rsid w:val="002B5ECA"/>
    <w:rsid w:val="002C3318"/>
    <w:rsid w:val="002E036E"/>
    <w:rsid w:val="002E070B"/>
    <w:rsid w:val="002F3CF6"/>
    <w:rsid w:val="002F720C"/>
    <w:rsid w:val="00307FD6"/>
    <w:rsid w:val="003205C2"/>
    <w:rsid w:val="00322D44"/>
    <w:rsid w:val="00323010"/>
    <w:rsid w:val="00332C14"/>
    <w:rsid w:val="0034317A"/>
    <w:rsid w:val="00343F2C"/>
    <w:rsid w:val="00344673"/>
    <w:rsid w:val="00345065"/>
    <w:rsid w:val="00346613"/>
    <w:rsid w:val="00360038"/>
    <w:rsid w:val="003625CB"/>
    <w:rsid w:val="003909D0"/>
    <w:rsid w:val="00392BD0"/>
    <w:rsid w:val="003A4AFA"/>
    <w:rsid w:val="003B02B4"/>
    <w:rsid w:val="003C2372"/>
    <w:rsid w:val="003C37D3"/>
    <w:rsid w:val="003F57DA"/>
    <w:rsid w:val="00411617"/>
    <w:rsid w:val="00441712"/>
    <w:rsid w:val="00454EDD"/>
    <w:rsid w:val="00461944"/>
    <w:rsid w:val="00467ED3"/>
    <w:rsid w:val="0048296D"/>
    <w:rsid w:val="00484619"/>
    <w:rsid w:val="0048625A"/>
    <w:rsid w:val="004B588C"/>
    <w:rsid w:val="004D3515"/>
    <w:rsid w:val="00512459"/>
    <w:rsid w:val="00517E6C"/>
    <w:rsid w:val="0052187D"/>
    <w:rsid w:val="00527961"/>
    <w:rsid w:val="0057100C"/>
    <w:rsid w:val="005A3E6B"/>
    <w:rsid w:val="005B750E"/>
    <w:rsid w:val="005B7C54"/>
    <w:rsid w:val="005C42BF"/>
    <w:rsid w:val="005E2F8A"/>
    <w:rsid w:val="005E49F1"/>
    <w:rsid w:val="005E6C9D"/>
    <w:rsid w:val="005F1448"/>
    <w:rsid w:val="00600FA3"/>
    <w:rsid w:val="0060644E"/>
    <w:rsid w:val="00661204"/>
    <w:rsid w:val="00675F2B"/>
    <w:rsid w:val="00682D6E"/>
    <w:rsid w:val="006A0BCA"/>
    <w:rsid w:val="006A2941"/>
    <w:rsid w:val="006B0A1C"/>
    <w:rsid w:val="006D739C"/>
    <w:rsid w:val="006E21EB"/>
    <w:rsid w:val="006E39D8"/>
    <w:rsid w:val="00704AE6"/>
    <w:rsid w:val="00715356"/>
    <w:rsid w:val="0071722B"/>
    <w:rsid w:val="007319DE"/>
    <w:rsid w:val="00740D8B"/>
    <w:rsid w:val="00760176"/>
    <w:rsid w:val="007615A9"/>
    <w:rsid w:val="00764812"/>
    <w:rsid w:val="00797434"/>
    <w:rsid w:val="007C4602"/>
    <w:rsid w:val="007C7FE1"/>
    <w:rsid w:val="007D6832"/>
    <w:rsid w:val="007E03A1"/>
    <w:rsid w:val="007F25EC"/>
    <w:rsid w:val="00835862"/>
    <w:rsid w:val="0084572B"/>
    <w:rsid w:val="008461D5"/>
    <w:rsid w:val="008A4869"/>
    <w:rsid w:val="008C1F35"/>
    <w:rsid w:val="008D54D6"/>
    <w:rsid w:val="008E1FE0"/>
    <w:rsid w:val="008E6D27"/>
    <w:rsid w:val="00902327"/>
    <w:rsid w:val="00914EF6"/>
    <w:rsid w:val="00916434"/>
    <w:rsid w:val="0093539D"/>
    <w:rsid w:val="00946140"/>
    <w:rsid w:val="009503D6"/>
    <w:rsid w:val="0097678E"/>
    <w:rsid w:val="00983C00"/>
    <w:rsid w:val="009902B0"/>
    <w:rsid w:val="009A705C"/>
    <w:rsid w:val="009A7CE4"/>
    <w:rsid w:val="009D0834"/>
    <w:rsid w:val="009D78E4"/>
    <w:rsid w:val="009F276C"/>
    <w:rsid w:val="00A11E67"/>
    <w:rsid w:val="00A30996"/>
    <w:rsid w:val="00A51D7D"/>
    <w:rsid w:val="00A70020"/>
    <w:rsid w:val="00A81CE3"/>
    <w:rsid w:val="00A95782"/>
    <w:rsid w:val="00AB6444"/>
    <w:rsid w:val="00AD4240"/>
    <w:rsid w:val="00AE16A7"/>
    <w:rsid w:val="00AF57D5"/>
    <w:rsid w:val="00B03662"/>
    <w:rsid w:val="00B20832"/>
    <w:rsid w:val="00B20CCB"/>
    <w:rsid w:val="00B34E2D"/>
    <w:rsid w:val="00B463E4"/>
    <w:rsid w:val="00B47752"/>
    <w:rsid w:val="00B532AE"/>
    <w:rsid w:val="00B60477"/>
    <w:rsid w:val="00B7083F"/>
    <w:rsid w:val="00B73B6E"/>
    <w:rsid w:val="00B817E2"/>
    <w:rsid w:val="00B971DB"/>
    <w:rsid w:val="00BB0003"/>
    <w:rsid w:val="00BB0184"/>
    <w:rsid w:val="00BB3CF0"/>
    <w:rsid w:val="00BC5E84"/>
    <w:rsid w:val="00BC60B9"/>
    <w:rsid w:val="00BE535C"/>
    <w:rsid w:val="00BE56E7"/>
    <w:rsid w:val="00BF4E7C"/>
    <w:rsid w:val="00C0274F"/>
    <w:rsid w:val="00C03E12"/>
    <w:rsid w:val="00C077E5"/>
    <w:rsid w:val="00C1203A"/>
    <w:rsid w:val="00C2780E"/>
    <w:rsid w:val="00C3201A"/>
    <w:rsid w:val="00C33B19"/>
    <w:rsid w:val="00C4197E"/>
    <w:rsid w:val="00C6111D"/>
    <w:rsid w:val="00C63CF7"/>
    <w:rsid w:val="00C64D23"/>
    <w:rsid w:val="00C66AD7"/>
    <w:rsid w:val="00C770AF"/>
    <w:rsid w:val="00CB4CFA"/>
    <w:rsid w:val="00CC29D4"/>
    <w:rsid w:val="00CC3F3E"/>
    <w:rsid w:val="00CD4B96"/>
    <w:rsid w:val="00CD63E4"/>
    <w:rsid w:val="00CE7C63"/>
    <w:rsid w:val="00CF20DB"/>
    <w:rsid w:val="00CF2733"/>
    <w:rsid w:val="00D13380"/>
    <w:rsid w:val="00D22E0D"/>
    <w:rsid w:val="00D31360"/>
    <w:rsid w:val="00D3488F"/>
    <w:rsid w:val="00D36E4C"/>
    <w:rsid w:val="00D44B12"/>
    <w:rsid w:val="00D44B30"/>
    <w:rsid w:val="00D4697B"/>
    <w:rsid w:val="00D758D0"/>
    <w:rsid w:val="00D83A54"/>
    <w:rsid w:val="00D949F4"/>
    <w:rsid w:val="00DB2FBB"/>
    <w:rsid w:val="00DE1DD5"/>
    <w:rsid w:val="00DE36E5"/>
    <w:rsid w:val="00E147C1"/>
    <w:rsid w:val="00E24E56"/>
    <w:rsid w:val="00E366C6"/>
    <w:rsid w:val="00E5267D"/>
    <w:rsid w:val="00E5406F"/>
    <w:rsid w:val="00E657A5"/>
    <w:rsid w:val="00E70292"/>
    <w:rsid w:val="00EA51FC"/>
    <w:rsid w:val="00EA67B5"/>
    <w:rsid w:val="00EC2227"/>
    <w:rsid w:val="00EE7637"/>
    <w:rsid w:val="00EF0BEA"/>
    <w:rsid w:val="00EF4301"/>
    <w:rsid w:val="00F30CD7"/>
    <w:rsid w:val="00F3770B"/>
    <w:rsid w:val="00F47219"/>
    <w:rsid w:val="00F548FC"/>
    <w:rsid w:val="00F674F1"/>
    <w:rsid w:val="00F729AE"/>
    <w:rsid w:val="00FC313B"/>
    <w:rsid w:val="00FE6E62"/>
    <w:rsid w:val="00FF2E93"/>
    <w:rsid w:val="00FF4F3B"/>
    <w:rsid w:val="00FF5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5C"/>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nhideWhenUsed/>
    <w:qFormat/>
    <w:rsid w:val="009A705C"/>
    <w:pPr>
      <w:keepNext/>
      <w:spacing w:before="240" w:after="60"/>
      <w:outlineLvl w:val="1"/>
    </w:pPr>
    <w:rPr>
      <w:rFonts w:ascii="Cambria" w:hAnsi="Cambria"/>
      <w:b/>
      <w:bCs/>
      <w:i/>
      <w:iCs/>
      <w:sz w:val="28"/>
      <w:szCs w:val="28"/>
    </w:rPr>
  </w:style>
  <w:style w:type="paragraph" w:styleId="7">
    <w:name w:val="heading 7"/>
    <w:basedOn w:val="a"/>
    <w:next w:val="a"/>
    <w:link w:val="70"/>
    <w:qFormat/>
    <w:rsid w:val="009A705C"/>
    <w:pPr>
      <w:spacing w:before="240" w:after="60"/>
      <w:outlineLvl w:val="6"/>
    </w:pPr>
    <w:rPr>
      <w:lang w:val="uk-UA"/>
    </w:rPr>
  </w:style>
  <w:style w:type="paragraph" w:styleId="8">
    <w:name w:val="heading 8"/>
    <w:basedOn w:val="a"/>
    <w:next w:val="a"/>
    <w:link w:val="80"/>
    <w:qFormat/>
    <w:rsid w:val="009A705C"/>
    <w:pPr>
      <w:spacing w:before="240" w:after="60"/>
      <w:outlineLvl w:val="7"/>
    </w:pPr>
    <w:rPr>
      <w:i/>
      <w:i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705C"/>
    <w:rPr>
      <w:rFonts w:ascii="Cambria" w:eastAsia="Times New Roman" w:hAnsi="Cambria" w:cs="Times New Roman"/>
      <w:b/>
      <w:bCs/>
      <w:i/>
      <w:iCs/>
      <w:sz w:val="28"/>
      <w:szCs w:val="28"/>
      <w:lang w:val="ru-RU" w:eastAsia="ru-RU"/>
    </w:rPr>
  </w:style>
  <w:style w:type="character" w:customStyle="1" w:styleId="70">
    <w:name w:val="Заголовок 7 Знак"/>
    <w:basedOn w:val="a0"/>
    <w:link w:val="7"/>
    <w:rsid w:val="009A705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A705C"/>
    <w:rPr>
      <w:rFonts w:ascii="Times New Roman" w:eastAsia="Times New Roman" w:hAnsi="Times New Roman" w:cs="Times New Roman"/>
      <w:i/>
      <w:iCs/>
      <w:sz w:val="24"/>
      <w:szCs w:val="24"/>
      <w:lang w:eastAsia="ru-RU"/>
    </w:rPr>
  </w:style>
  <w:style w:type="paragraph" w:styleId="a3">
    <w:name w:val="footer"/>
    <w:basedOn w:val="a"/>
    <w:link w:val="a4"/>
    <w:rsid w:val="009A705C"/>
    <w:pPr>
      <w:tabs>
        <w:tab w:val="center" w:pos="4677"/>
        <w:tab w:val="right" w:pos="9355"/>
      </w:tabs>
    </w:pPr>
  </w:style>
  <w:style w:type="character" w:customStyle="1" w:styleId="a4">
    <w:name w:val="Нижний колонтитул Знак"/>
    <w:basedOn w:val="a0"/>
    <w:link w:val="a3"/>
    <w:rsid w:val="009A705C"/>
    <w:rPr>
      <w:rFonts w:ascii="Times New Roman" w:eastAsia="Times New Roman" w:hAnsi="Times New Roman" w:cs="Times New Roman"/>
      <w:sz w:val="24"/>
      <w:szCs w:val="24"/>
      <w:lang w:val="ru-RU" w:eastAsia="ru-RU"/>
    </w:rPr>
  </w:style>
  <w:style w:type="character" w:styleId="a5">
    <w:name w:val="page number"/>
    <w:basedOn w:val="a0"/>
    <w:rsid w:val="009A705C"/>
  </w:style>
  <w:style w:type="paragraph" w:styleId="a6">
    <w:name w:val="List Paragraph"/>
    <w:basedOn w:val="a"/>
    <w:uiPriority w:val="99"/>
    <w:qFormat/>
    <w:rsid w:val="009A705C"/>
    <w:pPr>
      <w:spacing w:after="200" w:line="276" w:lineRule="auto"/>
      <w:ind w:left="720"/>
      <w:contextualSpacing/>
    </w:pPr>
    <w:rPr>
      <w:rFonts w:ascii="Calibri" w:hAnsi="Calibri"/>
      <w:sz w:val="22"/>
      <w:szCs w:val="22"/>
      <w:lang w:val="uk-UA" w:eastAsia="ja-JP"/>
    </w:rPr>
  </w:style>
  <w:style w:type="paragraph" w:customStyle="1" w:styleId="Default">
    <w:name w:val="Default"/>
    <w:rsid w:val="009A705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21">
    <w:name w:val="Body Text 2"/>
    <w:basedOn w:val="a"/>
    <w:link w:val="22"/>
    <w:rsid w:val="009A705C"/>
    <w:pPr>
      <w:spacing w:after="120" w:line="480" w:lineRule="auto"/>
    </w:pPr>
  </w:style>
  <w:style w:type="character" w:customStyle="1" w:styleId="22">
    <w:name w:val="Основной текст 2 Знак"/>
    <w:basedOn w:val="a0"/>
    <w:link w:val="21"/>
    <w:rsid w:val="009A705C"/>
    <w:rPr>
      <w:rFonts w:ascii="Times New Roman" w:eastAsia="Times New Roman" w:hAnsi="Times New Roman" w:cs="Times New Roman"/>
      <w:sz w:val="24"/>
      <w:szCs w:val="24"/>
      <w:lang w:val="ru-RU" w:eastAsia="ru-RU"/>
    </w:rPr>
  </w:style>
  <w:style w:type="character" w:customStyle="1" w:styleId="apple-converted-space">
    <w:name w:val="apple-converted-space"/>
    <w:rsid w:val="00E5406F"/>
  </w:style>
  <w:style w:type="paragraph" w:customStyle="1" w:styleId="rvps2">
    <w:name w:val="rvps2"/>
    <w:basedOn w:val="a"/>
    <w:rsid w:val="00E5406F"/>
    <w:pPr>
      <w:spacing w:before="100" w:beforeAutospacing="1" w:after="100" w:afterAutospacing="1"/>
    </w:pPr>
  </w:style>
  <w:style w:type="character" w:customStyle="1" w:styleId="rvts9">
    <w:name w:val="rvts9"/>
    <w:rsid w:val="00E5406F"/>
  </w:style>
  <w:style w:type="paragraph" w:styleId="3">
    <w:name w:val="toc 3"/>
    <w:basedOn w:val="a"/>
    <w:next w:val="a"/>
    <w:autoRedefine/>
    <w:uiPriority w:val="39"/>
    <w:semiHidden/>
    <w:unhideWhenUsed/>
    <w:rsid w:val="00661204"/>
    <w:pPr>
      <w:spacing w:after="100"/>
      <w:ind w:left="480"/>
    </w:pPr>
  </w:style>
  <w:style w:type="paragraph" w:styleId="a7">
    <w:name w:val="Balloon Text"/>
    <w:basedOn w:val="a"/>
    <w:link w:val="a8"/>
    <w:uiPriority w:val="99"/>
    <w:semiHidden/>
    <w:unhideWhenUsed/>
    <w:rsid w:val="004B588C"/>
    <w:rPr>
      <w:rFonts w:ascii="Segoe UI" w:hAnsi="Segoe UI" w:cs="Segoe UI"/>
      <w:sz w:val="18"/>
      <w:szCs w:val="18"/>
    </w:rPr>
  </w:style>
  <w:style w:type="character" w:customStyle="1" w:styleId="a8">
    <w:name w:val="Текст выноски Знак"/>
    <w:basedOn w:val="a0"/>
    <w:link w:val="a7"/>
    <w:uiPriority w:val="99"/>
    <w:semiHidden/>
    <w:rsid w:val="004B588C"/>
    <w:rPr>
      <w:rFonts w:ascii="Segoe UI" w:eastAsia="Times New Roman" w:hAnsi="Segoe UI" w:cs="Segoe UI"/>
      <w:sz w:val="18"/>
      <w:szCs w:val="18"/>
      <w:lang w:val="ru-RU" w:eastAsia="ru-RU"/>
    </w:rPr>
  </w:style>
  <w:style w:type="paragraph" w:styleId="a9">
    <w:name w:val="Body Text"/>
    <w:basedOn w:val="a"/>
    <w:link w:val="aa"/>
    <w:uiPriority w:val="99"/>
    <w:unhideWhenUsed/>
    <w:rsid w:val="00CC3F3E"/>
    <w:pPr>
      <w:spacing w:after="120"/>
    </w:pPr>
  </w:style>
  <w:style w:type="character" w:customStyle="1" w:styleId="aa">
    <w:name w:val="Основной текст Знак"/>
    <w:basedOn w:val="a0"/>
    <w:link w:val="a9"/>
    <w:uiPriority w:val="99"/>
    <w:rsid w:val="00CC3F3E"/>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180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3272</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2016-03-17T07:19:00Z</cp:lastPrinted>
  <dcterms:created xsi:type="dcterms:W3CDTF">2017-04-04T10:03:00Z</dcterms:created>
  <dcterms:modified xsi:type="dcterms:W3CDTF">2017-04-06T20:03:00Z</dcterms:modified>
</cp:coreProperties>
</file>